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竞争性磋商文件</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ascii="经典仿宋简" w:hAnsi="经典仿宋简" w:eastAsia="经典仿宋简" w:cs="经典仿宋简"/>
          <w:sz w:val="22"/>
        </w:rPr>
        <w:t xml:space="preserve">常州市应急管理局信息化项目运维管理服务</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ascii="经典仿宋简" w:hAnsi="经典仿宋简" w:eastAsia="经典仿宋简" w:cs="经典仿宋简"/>
          <w:sz w:val="22"/>
        </w:rPr>
        <w:t xml:space="preserve">JSZC-320400-JZCG-C2025-0511</w:t>
      </w:r>
      <w:r>
        <w:rPr>
          <w:rFonts w:eastAsia="经典仿宋简" w:cs="Calibri"/>
          <w:sz w:val="22"/>
        </w:rPr>
        <w:t xml:space="preserve">   </w:t>
      </w:r>
      <w:r>
        <w:rPr>
          <w:rFonts w:ascii="Arial" w:hAnsi="Arial" w:eastAsia="Arial" w:cs="Arial"/>
          <w:b/>
          <w:color w:val="ff0000"/>
          <w:sz w:val="32"/>
        </w:rPr>
        <w:t xml:space="preserve">         </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w:t>
      </w:r>
      <w:r>
        <w:rPr>
          <w:rFonts w:ascii="宋体" w:hAnsi="宋体" w:cs="宋体"/>
          <w:b/>
          <w:color w:val="ff0000"/>
          <w:sz w:val="30"/>
        </w:rPr>
        <w:t xml:space="preserve">全流程电子化</w:t>
      </w:r>
      <w:r>
        <w:rPr>
          <w:rFonts w:eastAsia="Calibri" w:cs="Calibri"/>
          <w:b/>
          <w:color w:val="ff0000"/>
          <w:sz w:val="30"/>
        </w:rPr>
        <w:t xml:space="preserve">-</w:t>
      </w:r>
      <w:r>
        <w:rPr>
          <w:rFonts w:ascii="宋体" w:hAnsi="宋体" w:cs="宋体"/>
          <w:b/>
          <w:color w:val="ff0000"/>
          <w:sz w:val="30"/>
        </w:rPr>
        <w:t xml:space="preserve">服务类项目，适用苏采云系统，专门面向中小企业</w:t>
      </w:r>
      <w:r>
        <w:rPr>
          <w:rFonts w:ascii="宋体" w:hAnsi="宋体" w:cs="宋体"/>
          <w:b/>
          <w:color w:val="ff0000"/>
          <w:sz w:val="32"/>
        </w:rPr>
        <w:t xml:space="preserve">）</w:t>
      </w:r>
      <w:r>
        <w:rPr>
          <w:rFonts w:ascii="Times New Roman" w:hAnsi="Times New Roman" w:eastAsia="Times New Roman"/>
          <w:color w:val="ff0000"/>
        </w:rPr>
        <w:t xml:space="preserve">    </w:t>
      </w:r>
      <w:r>
        <w:rPr>
          <w:rFonts w:ascii="Times New Roman" w:hAnsi="Times New Roman" w:eastAsia="Times New Roman"/>
          <w:color w:val="000000"/>
        </w:rPr>
        <w:t xml:space="preserve">       </w:t>
      </w:r>
      <w:r>
        <w:rPr>
          <w:rFonts w:ascii="Times New Roman" w:hAnsi="Times New Roman" w:eastAsia="Times New Roman"/>
          <w:b/>
          <w:color w:val="000000"/>
          <w:sz w:val="30"/>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经典仿宋简" w:hAnsi="经典仿宋简" w:eastAsia="经典仿宋简" w:cs="经典仿宋简"/>
          <w:sz w:val="22"/>
        </w:rPr>
        <w:t xml:space="preserve">2025年1</w:t>
      </w:r>
      <w:r>
        <w:rPr>
          <w:rFonts w:hint="eastAsia" w:ascii="经典仿宋简" w:hAnsi="经典仿宋简" w:eastAsia="经典仿宋简" w:cs="经典仿宋简"/>
          <w:sz w:val="22"/>
        </w:rPr>
        <w:t xml:space="preserve">2</w:t>
      </w:r>
      <w:r>
        <w:rPr>
          <w:rFonts w:ascii="经典仿宋简" w:hAnsi="经典仿宋简" w:eastAsia="经典仿宋简" w:cs="经典仿宋简"/>
          <w:sz w:val="22"/>
        </w:rPr>
        <w:t xml:space="preserve">月0</w:t>
      </w:r>
      <w:r>
        <w:rPr>
          <w:rFonts w:hint="eastAsia" w:ascii="经典仿宋简" w:hAnsi="经典仿宋简" w:eastAsia="经典仿宋简" w:cs="经典仿宋简"/>
          <w:sz w:val="22"/>
        </w:rPr>
        <w:t xml:space="preserve">4</w:t>
      </w:r>
      <w:r>
        <w:rPr>
          <w:rFonts w:ascii="经典仿宋简" w:hAnsi="经典仿宋简" w:eastAsia="经典仿宋简" w:cs="经典仿宋简"/>
          <w:sz w:val="22"/>
        </w:rPr>
        <w:t xml:space="preserve">日</w:t>
      </w:r>
      <w:r/>
    </w:p>
    <w:p>
      <w:pP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spacing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w:t>
      </w:r>
      <w:r>
        <w:rPr>
          <w:rFonts w:eastAsia="黑体" w:cs="Calibri"/>
          <w:b/>
          <w:color w:val="000000"/>
          <w:sz w:val="44"/>
        </w:rPr>
        <w:t xml:space="preserve"> </w:t>
      </w:r>
      <w:r>
        <w:rPr>
          <w:rFonts w:ascii="黑体" w:hAnsi="黑体" w:eastAsia="黑体" w:cs="黑体"/>
          <w:b/>
          <w:color w:val="000000"/>
          <w:sz w:val="44"/>
        </w:rPr>
        <w:t xml:space="preserve"> 目</w:t>
      </w:r>
      <w:r>
        <w:rPr>
          <w:rFonts w:eastAsia="黑体" w:cs="Calibri"/>
          <w:b/>
          <w:color w:val="000000"/>
          <w:sz w:val="44"/>
        </w:rPr>
        <w:t xml:space="preserve"> </w:t>
      </w:r>
      <w:r>
        <w:rPr>
          <w:rFonts w:ascii="黑体" w:hAnsi="黑体" w:eastAsia="黑体" w:cs="黑体"/>
          <w:b/>
          <w:color w:val="000000"/>
          <w:sz w:val="44"/>
        </w:rPr>
        <w:t xml:space="preserve"> 录</w:t>
      </w:r>
      <w:r/>
    </w:p>
    <w:p>
      <w:pPr>
        <w:spacing w:after="0" w:line="113" w:lineRule="atLeast"/>
        <w:pBdr>
          <w:top w:val="none" w:color="000000" w:sz="0" w:space="0"/>
          <w:left w:val="none" w:color="000000" w:sz="0" w:space="0"/>
          <w:bottom w:val="none" w:color="000000" w:sz="0" w:space="0"/>
          <w:right w:val="none" w:color="000000" w:sz="0" w:space="0"/>
        </w:pBdr>
      </w:pPr>
      <w:r>
        <w:rPr>
          <w:rFonts w:eastAsia="仿宋" w:cs="Calibri"/>
          <w:b/>
          <w:color w:val="000000"/>
          <w:sz w:val="28"/>
        </w:rPr>
        <w:t xml:space="preserve"> </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磋商邀请…………………………………… </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供应商须知…………………………………</w:t>
      </w:r>
      <w:r>
        <w:rPr>
          <w:rFonts w:eastAsia="黑体" w:cs="Calibri"/>
          <w:color w:val="000000"/>
          <w:sz w:val="36"/>
        </w:rPr>
        <w:t xml:space="preserve"> </w:t>
      </w:r>
      <w:r>
        <w:rPr>
          <w:rFonts w:ascii="黑体" w:hAnsi="黑体" w:eastAsia="黑体" w:cs="黑体"/>
          <w:color w:val="000000"/>
          <w:sz w:val="36"/>
        </w:rPr>
        <w:t xml:space="preserve"> </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评审方法与评审标准………………………</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响应文件格式………………………………</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rPr>
          <w:rFonts w:ascii="Times New Roman" w:hAnsi="Times New Roman" w:eastAsia="Times New Roman"/>
          <w:color w:val="000000"/>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w:t>
      </w:r>
      <w:r>
        <w:rPr>
          <w:rFonts w:eastAsia="黑体" w:cs="Calibri"/>
          <w:color w:val="000000"/>
          <w:sz w:val="44"/>
        </w:rPr>
        <w:t xml:space="preserve"> </w:t>
      </w:r>
      <w:r>
        <w:rPr>
          <w:rFonts w:ascii="黑体" w:hAnsi="黑体" w:eastAsia="黑体" w:cs="黑体"/>
          <w:color w:val="000000"/>
          <w:sz w:val="44"/>
        </w:rPr>
        <w:t xml:space="preserve"> 磋商邀请</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经典仿宋简" w:hAnsi="经典仿宋简" w:eastAsia="经典仿宋简" w:cs="经典仿宋简"/>
          <w:sz w:val="22"/>
        </w:rPr>
        <w:t xml:space="preserve">常州市应急管理局</w:t>
      </w:r>
      <w:r>
        <w:rPr>
          <w:rFonts w:ascii="宋体" w:hAnsi="宋体" w:cs="宋体"/>
          <w:color w:val="000000"/>
          <w:sz w:val="24"/>
        </w:rPr>
        <w:t xml:space="preserve">]的委托，常州市政府采购中心就[</w:t>
      </w:r>
      <w:r>
        <w:rPr>
          <w:rFonts w:ascii="经典仿宋简" w:hAnsi="经典仿宋简" w:eastAsia="经典仿宋简" w:cs="经典仿宋简"/>
          <w:sz w:val="22"/>
        </w:rPr>
        <w:t xml:space="preserve">常州市应急管理局信息化项目运维管理服务</w:t>
      </w:r>
      <w:r>
        <w:rPr>
          <w:rFonts w:ascii="宋体" w:hAnsi="宋体" w:cs="宋体"/>
          <w:color w:val="000000"/>
          <w:sz w:val="24"/>
        </w:rPr>
        <w:t xml:space="preserve">]([</w:t>
      </w:r>
      <w:r>
        <w:rPr>
          <w:rFonts w:ascii="经典仿宋简" w:hAnsi="经典仿宋简" w:eastAsia="经典仿宋简" w:cs="经典仿宋简"/>
          <w:sz w:val="22"/>
        </w:rPr>
        <w:t xml:space="preserve">JSZC-320400-JZCG-C2025-0511</w:t>
      </w:r>
      <w:r>
        <w:rPr>
          <w:rFonts w:ascii="宋体" w:hAnsi="宋体" w:cs="宋体"/>
          <w:color w:val="000000"/>
          <w:sz w:val="24"/>
        </w:rPr>
        <w:t xml:space="preserve">])项目进行竞争性磋商采购，欢迎符合条件的供应商参加磋商。</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经典仿宋简" w:hAnsi="经典仿宋简" w:eastAsia="经典仿宋简" w:cs="经典仿宋简"/>
          <w:sz w:val="22"/>
        </w:rPr>
        <w:t xml:space="preserve">JSZC-320400-JZCG-C2025-0511</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ascii="经典仿宋简" w:hAnsi="经典仿宋简" w:eastAsia="经典仿宋简" w:cs="经典仿宋简"/>
          <w:sz w:val="22"/>
        </w:rPr>
        <w:t xml:space="preserve">常州市应急管理局信息化项目运维管理服务</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rPr>
          <w:rFonts w:ascii="经典仿宋简" w:hAnsi="经典仿宋简" w:eastAsia="经典仿宋简" w:cs="经典仿宋简"/>
          <w:sz w:val="22"/>
        </w:rPr>
        <w:t xml:space="preserve">900000</w:t>
      </w:r>
      <w:r>
        <w:rPr>
          <w:rFonts w:hint="eastAsia" w:ascii="宋体" w:hAnsi="宋体" w:cs="宋体"/>
          <w:color w:val="000000"/>
          <w:sz w:val="24"/>
        </w:rPr>
        <w:t xml:space="preserve">元</w:t>
      </w:r>
      <w:r/>
    </w:p>
    <w:p>
      <w:pPr>
        <w:ind w:firstLine="480"/>
        <w:rPr>
          <w:rFonts w:hint="eastAsia" w:ascii="宋体" w:hAnsi="宋体"/>
          <w:sz w:val="24"/>
          <w:szCs w:val="24"/>
          <w:u w:val="single"/>
        </w:rPr>
      </w:pPr>
      <w:r>
        <w:rPr>
          <w:rFonts w:ascii="宋体" w:hAnsi="宋体" w:cs="宋体"/>
          <w:color w:val="000000"/>
          <w:sz w:val="24"/>
        </w:rPr>
        <w:t xml:space="preserve">4.采购需求（简介）：</w:t>
      </w:r>
      <w:r>
        <w:rPr>
          <w:rFonts w:hint="eastAsia" w:ascii="宋体" w:hAnsi="宋体" w:cs="宋体"/>
          <w:color w:val="000000"/>
          <w:sz w:val="24"/>
        </w:rPr>
        <w:t xml:space="preserve">本项目是常州市应急管理局信息化项目运维管理服务，服务内容</w:t>
      </w:r>
      <w:r>
        <w:rPr>
          <w:rFonts w:hint="eastAsia" w:ascii="宋体" w:hAnsi="宋体" w:cs="宋体"/>
          <w:color w:val="000000"/>
          <w:sz w:val="24"/>
        </w:rPr>
        <w:t xml:space="preserve">包括但不限于</w:t>
      </w:r>
      <w:r>
        <w:rPr>
          <w:rFonts w:hint="eastAsia" w:ascii="宋体" w:hAnsi="宋体" w:cs="宋体"/>
          <w:color w:val="000000"/>
          <w:sz w:val="24"/>
        </w:rPr>
        <w:t xml:space="preserve">软件系统运维、软件基础支撑能力、网络安全技术服务和网络线路资源租用等服务。</w:t>
      </w:r>
      <w:r>
        <w:rPr>
          <w:rFonts w:hint="eastAsia" w:ascii="宋体" w:hAnsi="宋体" w:cs="宋体"/>
          <w:color w:val="000000"/>
          <w:sz w:val="24"/>
        </w:rPr>
        <w:t xml:space="preserve">（详细内容见本磋商文件第四章）</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5.合同履行期限：本项目运维周期为12个月（</w:t>
      </w:r>
      <w:r>
        <w:rPr>
          <w:rFonts w:hint="eastAsia" w:ascii="宋体" w:hAnsi="宋体" w:cs="宋体"/>
          <w:color w:val="000000"/>
          <w:sz w:val="24"/>
        </w:rPr>
        <w:t xml:space="preserve">自</w:t>
      </w:r>
      <w:r>
        <w:rPr>
          <w:rFonts w:ascii="宋体" w:hAnsi="宋体" w:cs="宋体"/>
          <w:color w:val="000000"/>
          <w:sz w:val="24"/>
        </w:rPr>
        <w:t xml:space="preserve">签订合同</w:t>
      </w:r>
      <w:r>
        <w:rPr>
          <w:rFonts w:hint="eastAsia" w:ascii="宋体" w:hAnsi="宋体" w:cs="宋体"/>
          <w:color w:val="000000"/>
          <w:sz w:val="24"/>
        </w:rPr>
        <w:t xml:space="preserve">之日</w:t>
      </w:r>
      <w:r>
        <w:rPr>
          <w:rFonts w:ascii="宋体" w:hAnsi="宋体" w:cs="宋体"/>
          <w:color w:val="000000"/>
          <w:sz w:val="24"/>
        </w:rPr>
        <w:t xml:space="preserve">起</w:t>
      </w:r>
      <w:r>
        <w:rPr>
          <w:rFonts w:hint="eastAsia" w:ascii="宋体" w:hAnsi="宋体" w:cs="宋体"/>
          <w:color w:val="000000"/>
          <w:sz w:val="24"/>
        </w:rPr>
        <w:t xml:space="preserve">计算</w:t>
      </w:r>
      <w:r>
        <w:rPr>
          <w:rFonts w:ascii="宋体" w:hAnsi="宋体" w:cs="宋体"/>
          <w:color w:val="000000"/>
          <w:sz w:val="24"/>
        </w:rPr>
        <w:t xml:space="preserve">）</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1.满足《中华人民共和国政府采购法》第二十二条规定，并提供供应商资格声明函。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4.本项目不接受联合体参与磋商。</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三、获取磋商文件</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1.时间：详见采购公告。</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2.方式：在“江苏政府采购网、常州市政府采购网”自行免费下载磋商文件。</w:t>
      </w:r>
      <w:r/>
    </w:p>
    <w:p>
      <w:pPr>
        <w:pStyle w:val="728"/>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四、响应文件提交</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1.时间：详见采购公告。</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磋商公告及磋商文件公告期限为自本公告发布之日起3个工作日。</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七、本次磋商联系方式</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ascii="经典仿宋简" w:hAnsi="经典仿宋简" w:eastAsia="经典仿宋简" w:cs="经典仿宋简"/>
          <w:sz w:val="22"/>
        </w:rPr>
        <w:t xml:space="preserve">常州市应急管理局</w: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经典仿宋简" w:hAnsi="经典仿宋简" w:eastAsia="经典仿宋简" w:cs="经典仿宋简"/>
          <w:sz w:val="22"/>
        </w:rPr>
        <w:t xml:space="preserve">常州市龙城大道1280号1A9</w: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rPr>
        <w:t xml:space="preserve">金</w:t>
      </w:r>
      <w:r>
        <w:rPr>
          <w:rFonts w:ascii="宋体" w:hAnsi="宋体" w:cs="宋体"/>
          <w:color w:val="000000"/>
          <w:sz w:val="24"/>
        </w:rPr>
        <w:t xml:space="preserve">剑</w:t>
      </w:r>
      <w:r>
        <w:rPr>
          <w:rFonts w:ascii="经典仿宋简" w:hAnsi="经典仿宋简" w:eastAsia="经典仿宋简" w:cs="经典仿宋简"/>
          <w:sz w:val="22"/>
        </w:rPr>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经典仿宋简" w:hAnsi="经典仿宋简" w:eastAsia="经典仿宋简" w:cs="经典仿宋简"/>
          <w:sz w:val="22"/>
        </w:rPr>
        <w:t xml:space="preserve">0519-85683167</w: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w:t>
      </w:r>
      <w:r>
        <w:rPr>
          <w:rFonts w:ascii="宋体" w:hAnsi="宋体" w:cs="宋体"/>
          <w:color w:val="ff0000"/>
          <w:sz w:val="24"/>
        </w:rPr>
        <w:t xml:space="preserve">四楼大厅CA办理窗口办理，窗口联系电话0519-85588120，其他联系方式见《苏采云系统供应商操作手册》（以下简称《操作手册》））、进行注册并按《操作手册》要求制作、上传电子投标文件。</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有关本次磋商的事项若存在变动或修改，敬请及时关注常州市政府采购中心在“江苏政府采购网、常州市政府采购网”发布的更正公告。</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本次磋商不收取磋商保证金。</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w:t>
      </w:r>
      <w:r>
        <w:rPr>
          <w:rFonts w:eastAsia="黑体" w:cs="Calibri"/>
          <w:b/>
          <w:color w:val="000000"/>
          <w:sz w:val="44"/>
        </w:rPr>
        <w:t xml:space="preserve"> </w:t>
      </w:r>
      <w:r>
        <w:rPr>
          <w:rFonts w:ascii="黑体" w:hAnsi="黑体" w:eastAsia="黑体" w:cs="黑体"/>
          <w:b/>
          <w:color w:val="000000"/>
          <w:sz w:val="44"/>
        </w:rPr>
        <w:t xml:space="preserve"> 供应商须知</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、采购方式</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本次政府采购活动采取竞争性磋商(以下简称磋商)方式，本磋商文件仅适用于磋商公告中所述项目。</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、合格的供应商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2.1满足磋商公告中供应商资格要求的规定。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满足本磋商文件实质性要求和条件的规定。</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本次磋商及由此产生的合同受中华人民共和国有关的法律法规制约和保护。</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、磋商费用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4.1供应商应自行承担所有与参加本次磋商有关的费用，无论磋商过程中的做法和结果如何，常州市政府采购中心（以下简称采购中心）在任何情况下均无义务和责任承担这些费用。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4.2本次磋商采购中心和采购人不收取标书工本费与成交服务费。</w:t>
      </w:r>
      <w:r/>
    </w:p>
    <w:p>
      <w:pPr>
        <w:ind w:firstLine="301"/>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5</w:t>
      </w:r>
      <w:r>
        <w:rPr>
          <w:rFonts w:ascii="黑体" w:hAnsi="黑体" w:eastAsia="黑体" w:cs="黑体"/>
          <w:b/>
          <w:color w:val="000000"/>
          <w:sz w:val="30"/>
        </w:rPr>
        <w:t xml:space="preserve">、</w:t>
      </w:r>
      <w:r>
        <w:rPr>
          <w:rFonts w:ascii="黑体" w:hAnsi="黑体" w:eastAsia="黑体" w:cs="黑体"/>
          <w:color w:val="000000"/>
          <w:sz w:val="28"/>
        </w:rPr>
        <w:t xml:space="preserve">磋商文件的约束力</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5.1供应商一旦参加本项目采购活动，即被认为接受了本磋商文件的规定和约束。</w:t>
      </w:r>
      <w:r/>
    </w:p>
    <w:p>
      <w:pPr>
        <w:ind w:firstLine="32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二、磋商文件</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、磋商文件构成</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6.1磋商文件由以下部分组成：</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（1）磋商邀请</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（2）供应商须知</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（5）评审方法与评审标准</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（6）响应文件格式</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请仔细检查磋商文件是否齐全，如有缺漏请立即与采购中心联系解决。</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、磋商文件的澄清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任何要求对磋商文件进行澄清的供应商，应在磋商截止期5日前按磋商公告中的通讯地址，以书面形式通知采购中心。</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、磋商文件的澄清和修改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在响应文件提交截止时间前，采购中心可以对磋商文件进行澄清和修改,</w:t>
      </w:r>
      <w:r>
        <w:rPr>
          <w:rFonts w:ascii="Times New Roman" w:hAnsi="Times New Roman" w:eastAsia="Times New Roman"/>
          <w:color w:val="000000"/>
        </w:rPr>
        <w:t xml:space="preserve"> </w:t>
      </w:r>
      <w:r>
        <w:rPr>
          <w:rFonts w:ascii="宋体" w:hAnsi="宋体" w:cs="宋体"/>
          <w:color w:val="000000"/>
          <w:sz w:val="24"/>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ascii="Times New Roman" w:hAnsi="Times New Roman" w:eastAsia="Times New Roman"/>
          <w:color w:val="000000"/>
        </w:rPr>
        <w:t xml:space="preserve"> </w:t>
      </w:r>
      <w:r>
        <w:rPr>
          <w:rFonts w:ascii="宋体" w:hAnsi="宋体" w:cs="宋体"/>
          <w:color w:val="000000"/>
          <w:sz w:val="24"/>
        </w:rPr>
        <w:t xml:space="preserve">更正公告内容将作为磋商文件的组成部分，并对供应商具有约束力。不足5日的，采购中心将顺延提交首次响应文件截止时间。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8.2采购中心可以视采购项目的具体情况，组织供应商进行现场考察或召开磋商前答疑会，但不单独或分别组织只有一个供应商参加的现场考察和答疑会。</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三、响应文件的编制</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、响应文件的语言及度量衡单位</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9.1供应商提交的响应文件以及供应商与采购中心就有关磋商的所有来往通知、函件和文件均应使用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除技术性能另有规定外，响应文件所使用的度量衡单位，均须采用国家法定计量单位。</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、响应文件构成</w:t>
      </w:r>
      <w:r/>
    </w:p>
    <w:p>
      <w:pPr>
        <w:ind w:firstLine="480"/>
        <w:spacing w:after="0" w:line="85" w:lineRule="atLeast"/>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10.1本项目如划分采购包，供应商可以对本项目的其中一个采购包进行响应，也可同时对多个采购包进行响应。</w:t>
      </w:r>
      <w:r>
        <w:rPr>
          <w:rFonts w:ascii="宋体" w:hAnsi="宋体" w:cs="宋体"/>
          <w:i/>
          <w:color w:val="000000"/>
          <w:sz w:val="24"/>
          <w:u w:val="single"/>
        </w:rPr>
        <w:t xml:space="preserve">供应商应当对所投采购包对应《采购需求》所列的全部内容进行响应，不得将一个采购包中的内容拆开响应，否则其对该采购包的响应将被认定为无效响应。</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10.2供应商编写的响应文件应包括资格证明文件、符合性证明文件、分项报价表、技术要求响应及偏离表、商务要求响应及偏离表、其他证明文件、磋商响应函、响应一览表等部分。</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10.3如标书制作工具中格式和内容与“江苏政府采购网、常州市政府采购网”发布的磋商文件不一致，请以“江苏政府采购网、常州市政府采购网”发布的磋商文件为准。</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、证明磋商响应标的符合磋商文件规定的文件</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11.1供应商应按照磋商文件要求提交证明文件，证明其及磋商响应标的符合磋商文件规定。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11.2磋商文件对证明文件无明确形式要求的，证明文件可以以文字资料、图纸和数据等形式提交。</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、分项报价表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12.1供应商应按照磋商文件规定格式填报分项报价表。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12.2磋商货币。响应文件中的单价和总价无特殊规定的采用人民币报价，以元为单位标注。磋商文件中另有规定的按规定执行。</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13.1供应商需对磋商文件中的技术要求与商务要求逐项作出响应或偏离，并说明原因。</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13.2供应商可在响应文件中提供认为需要的其他技术文件或说明。</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、服务承诺、培训计划、人员安排及其他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14.1供应商需根据磋商文件要求提供有关售后服务的管理制度，售后服务机构的分布情况，售后服务人员的数量、素质、技术水平及售后服务的反应能力等。</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14.2供应商需根据磋商文件要求提供培训计划。</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14.3供应商需根据磋商文件要求提供磋商响应标的的主要组成部分、功能设计、实现思路及关键技术等。</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、磋商响应函、响应一览表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15.1供应商应按照磋商文件中提供的格式完整、正确填写磋商响应函、响应一览表。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对于采用货币报价的项目，响应一览表中的总报价应与分项报价表中的总报价一致，如不一致，不作为无效响应处理，但评审时按响应一览表中价格为准</w:t>
      </w:r>
      <w:r>
        <w:rPr>
          <w:rFonts w:ascii="宋体" w:hAnsi="宋体" w:cs="宋体"/>
          <w:b/>
          <w:color w:val="000000"/>
          <w:sz w:val="24"/>
        </w:rPr>
        <w:t xml:space="preserve">。</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、磋商有效期</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16.1磋商有效期为采购中心规定的提交响应文件截止之日后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。磋商有效期比规定短的将被视为非实质性响应磋商文件而予以拒绝。</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、磋商有效期的延长</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四、响应文件的递交</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、电子磋商响应文件的递交</w:t>
      </w:r>
      <w:r/>
    </w:p>
    <w:p>
      <w:pPr>
        <w:ind w:firstLine="6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18.1供应商应当按照《操作手册》规定，在提交响应文件截止时间前制作并上传电子响应文件。</w:t>
      </w:r>
      <w:r/>
    </w:p>
    <w:p>
      <w:pPr>
        <w:ind w:firstLine="560"/>
        <w:spacing w:before="280" w:after="290" w:line="8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hint="eastAsia"/>
        </w:rPr>
        <w:t xml:space="preserve">9</w:t>
      </w:r>
      <w:r>
        <w:rPr>
          <w:rFonts w:ascii="黑体" w:hAnsi="黑体" w:eastAsia="黑体" w:cs="黑体"/>
          <w:color w:val="000000"/>
          <w:sz w:val="28"/>
        </w:rPr>
        <w:t xml:space="preserve">、提交响应文件截止时间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19.1供应商上传电子响应文件的时间不得迟于磋商公告中规定的提交响应文件截止时间。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采购中心可以按照规定，通过修改磋商文件酌情延长提交响应文件截止日期，在此情况下，供应商的所有权利和义务以及供应商受制的截止日期均应以延长后新的截止日期为准。</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、响应文件的拒收</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采购中心拒绝接收在其规定的提交响应文件截止时间后上传的任何电子响应文件。</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、响应文件的撤回和修改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21.1响应文件的撤回</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电子响应文件的撤回</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供应商可在提交响应文件截止时间前，撤回其电子响应文件，具体操作方法见《操作手册》。</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21.1.2供应商撤回电子响应文件，则认为其不再参与本项目磋商活动。</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21.2响应文件的修改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供应商可在提交响应文件截止时间前，对其电子响应文件进行修改，具体操作方法见《操作手册》。</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 在提交响应文件截止时间之后，供应商不得对其电子响应文件作任何修改。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 在提交响应文件截止时间至磋商文件中规定的磋商有效期满之间的这段时间内，供应商不得撤回其响应文件。</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五、响应文件的解密与评审</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、响应文件解密</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22.1供应商应当按照《操作手册》规定，在</w:t>
      </w:r>
      <w:r>
        <w:rPr>
          <w:rFonts w:ascii="宋体" w:hAnsi="宋体" w:cs="宋体"/>
          <w:color w:val="ff0000"/>
          <w:sz w:val="24"/>
        </w:rPr>
        <w:t xml:space="preserve">苏采云系统</w:t>
      </w:r>
      <w:r>
        <w:rPr>
          <w:rFonts w:ascii="宋体" w:hAnsi="宋体" w:cs="宋体"/>
          <w:color w:val="000000"/>
          <w:sz w:val="24"/>
        </w:rPr>
        <w:t xml:space="preserve">规定的时间内对磋商响应文件进行解密。</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、磋商小组</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23.1采购中心将组织磋商小组对响应文件进行评审。磋商小组由采购人代表和有关技术、经济等方面的专家组成，且人员构成符合政府采购有关规定。</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23.2磋商小组独立工作，负责评审所有响应文件并确定成交候选人。</w:t>
      </w:r>
      <w:r/>
    </w:p>
    <w:p>
      <w:pPr>
        <w:ind w:firstLine="42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24、评审过程的保密与公正</w:t>
      </w:r>
      <w:r/>
    </w:p>
    <w:p>
      <w:pPr>
        <w:ind w:firstLine="480"/>
        <w:spacing w:after="0"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24.1磋商小组、采购人和采购中心工作人员、相关监督人员等与评审工作有关的人员，对评审情况以及在评审过程中获悉的国家秘密、商业秘密负有保密责任。</w:t>
      </w:r>
      <w:r/>
    </w:p>
    <w:p>
      <w:pPr>
        <w:ind w:firstLine="480"/>
        <w:spacing w:after="0"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24.2在评审过程中，供应商不得以任何行为影响磋商评审过程，否则其响应文件将被作为无效响应文件。</w:t>
      </w:r>
      <w:r/>
    </w:p>
    <w:p>
      <w:pPr>
        <w:ind w:firstLine="480"/>
        <w:spacing w:after="0"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24.3在项目评审期间，采购中心将设专门人员与供应商联系。</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采购中心和磋商小组不向未成交的供应商解释未成交原因，也不公布评审过程中的相关细节。</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、评审过程中的的澄清</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磋商小组并非对每个供应商都作澄清要求。</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25.2需要供应商进行澄清、说明和更正的，磋商小组将通过</w:t>
      </w:r>
      <w:r>
        <w:rPr>
          <w:rFonts w:ascii="宋体" w:hAnsi="宋体" w:cs="宋体"/>
          <w:color w:val="ff0000"/>
          <w:sz w:val="24"/>
        </w:rPr>
        <w:t xml:space="preserve">苏采云系统</w:t>
      </w:r>
      <w:r>
        <w:rPr>
          <w:rFonts w:ascii="宋体" w:hAnsi="宋体" w:cs="宋体"/>
          <w:color w:val="000000"/>
          <w:sz w:val="24"/>
        </w:rPr>
        <w:t xml:space="preserve">向供应商发布“澄清要求函”，接到“澄清要求函”的供应商应当按照要求在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中提交“澄清响应函”并加盖CA电子公章。澄清、说明和更正的内容作为响应文件的补充部分，具体操作方式见《操作手册》。</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25.3 接到磋商小组澄清、说明和更正要求的供应商如未按规定做出澄清、说明和 更正，其风险由供应商自行承担。</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、对响应文件的审查</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26.1响应文件审查分为资格审查和符合性审查。</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资格审查：由磋商小组依据法律法规和磋商文件的规定，对响应文件中</w:t>
      </w:r>
      <w:r>
        <w:rPr>
          <w:rFonts w:ascii="宋体" w:hAnsi="宋体" w:cs="宋体"/>
          <w:color w:val="000000"/>
          <w:sz w:val="24"/>
        </w:rPr>
        <w:t xml:space="preserve">的资格证明文件进行审查，以确定供应商是否具备参加磋商的资格。</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磋商小组在进行资格审查的同时，将在“信用中国”网站（www.creditchina.gov.cn）查询供应商的信用记录，以确定供应商是否具备磋商资格,查询结果留存并归档。</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 未通过资格审查或符合性审查的供应商，磋商小组将在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中告知未通过资格审查或符合性审查的原因，评审结束后，磋商小组将不再告知未通过资格审查或符合性审查的原因。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26.3未实质性响应磋商文件的情形</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26.3.1供应商在</w:t>
      </w:r>
      <w:r>
        <w:rPr>
          <w:rFonts w:ascii="宋体" w:hAnsi="宋体" w:cs="宋体"/>
          <w:color w:val="ff0000"/>
          <w:sz w:val="24"/>
        </w:rPr>
        <w:t xml:space="preserve">苏采云系统</w:t>
      </w:r>
      <w:r>
        <w:rPr>
          <w:rFonts w:ascii="宋体" w:hAnsi="宋体" w:cs="宋体"/>
          <w:color w:val="000000"/>
          <w:sz w:val="24"/>
        </w:rPr>
        <w:t xml:space="preserve">规定的时间内未成功解密电子响应文件的。</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26.3.2供应商未按照磋商文件要求上传电子响应文件的。</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26.3.3同一供应商提交两个（含两个）以上不同的响应文件或者最后报价的。</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26.3.4供应商不具备磋商文件中规定资格要求的。</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26.3.5供应商的最后报价超过了采购预算。</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26.3.6不符合磋商文件中规定的实质性要求和条件的</w:t>
      </w:r>
      <w:r>
        <w:rPr>
          <w:rFonts w:ascii="宋体" w:hAnsi="宋体" w:cs="宋体"/>
          <w:b/>
          <w:i/>
          <w:color w:val="000000"/>
          <w:sz w:val="24"/>
          <w:u w:val="single"/>
        </w:rPr>
        <w:t xml:space="preserve">（本磋商文件中斜体且有下划线部分、或者加“★”号的、或者以文字说明属于实质性要求的内容均为实质性要求和条件）。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26.3.8  响应文件含有采购人不能接受的附加条件的。</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26.3.10响应文件未按照磋商文件要求加盖CA电子公章的。</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26.4未实质性响应磋商文件的响应文件按无效响应处理。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26.6供应商在项目评审全过程中应保持通讯畅通，并安排专人与采购中心及磋商小组联系。</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、磋商程序及评审方法和评审标准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27.1磋商程序</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27.1.1对于通过资格审查和符合性审查的供应商，磋商小组将集中与单一供应商分别进行磋商。磋商小组通过</w:t>
      </w:r>
      <w:r>
        <w:rPr>
          <w:rFonts w:ascii="宋体" w:hAnsi="宋体" w:cs="宋体"/>
          <w:color w:val="ff0000"/>
          <w:sz w:val="24"/>
        </w:rPr>
        <w:t xml:space="preserve">苏采云系统</w:t>
      </w:r>
      <w:r>
        <w:rPr>
          <w:rFonts w:ascii="宋体" w:hAnsi="宋体" w:cs="宋体"/>
          <w:color w:val="000000"/>
          <w:sz w:val="24"/>
        </w:rPr>
        <w:t xml:space="preserve">向供应商发布“磋商函”，供应商应当按照要求在</w:t>
      </w:r>
      <w:r>
        <w:rPr>
          <w:rFonts w:ascii="宋体" w:hAnsi="宋体" w:cs="宋体"/>
          <w:color w:val="ff0000"/>
          <w:sz w:val="24"/>
        </w:rPr>
        <w:t xml:space="preserve">苏采云系统</w:t>
      </w:r>
      <w:r>
        <w:rPr>
          <w:rFonts w:ascii="宋体" w:hAnsi="宋体" w:cs="宋体"/>
          <w:color w:val="000000"/>
          <w:sz w:val="24"/>
        </w:rPr>
        <w:t xml:space="preserve">提交“磋商响应函”并加盖CA电子公章。</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ascii="宋体" w:hAnsi="宋体" w:cs="宋体"/>
          <w:color w:val="ff0000"/>
          <w:sz w:val="24"/>
        </w:rPr>
        <w:t xml:space="preserve">苏采云系统</w:t>
      </w:r>
      <w:r>
        <w:rPr>
          <w:rFonts w:ascii="宋体" w:hAnsi="宋体" w:cs="宋体"/>
          <w:color w:val="000000"/>
          <w:sz w:val="24"/>
        </w:rPr>
        <w:t xml:space="preserve">中通知所有参加磋商的供应商。供应商应当按照磋商文件的变动情况和磋商小组的要求在</w:t>
      </w:r>
      <w:r>
        <w:rPr>
          <w:rFonts w:ascii="宋体" w:hAnsi="宋体" w:cs="宋体"/>
          <w:color w:val="ff0000"/>
          <w:sz w:val="24"/>
        </w:rPr>
        <w:t xml:space="preserve">苏采云系统</w:t>
      </w:r>
      <w:r>
        <w:rPr>
          <w:rFonts w:ascii="宋体" w:hAnsi="宋体" w:cs="宋体"/>
          <w:color w:val="000000"/>
          <w:sz w:val="24"/>
        </w:rPr>
        <w:t xml:space="preserve">中重新提交响应文件，并加盖CA电子公章。</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27.1.2磋商文件能够详细列明采购标的的技术、服务要求的，磋商结束后，磋商小组将在</w:t>
      </w:r>
      <w:r>
        <w:rPr>
          <w:rFonts w:ascii="宋体" w:hAnsi="宋体" w:cs="宋体"/>
          <w:color w:val="ff0000"/>
          <w:sz w:val="24"/>
        </w:rPr>
        <w:t xml:space="preserve">苏采云系统</w:t>
      </w:r>
      <w:r>
        <w:rPr>
          <w:rFonts w:ascii="宋体" w:hAnsi="宋体" w:cs="宋体"/>
          <w:color w:val="000000"/>
          <w:sz w:val="24"/>
        </w:rPr>
        <w:t xml:space="preserve">向所有实质性响应的供应商发布“最后报价要求函”及最后报价格式表，要求所有实质性响应的供应商在规定时间内提交最后报价。</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ascii="宋体" w:hAnsi="宋体" w:cs="宋体"/>
          <w:color w:val="ff0000"/>
          <w:sz w:val="24"/>
        </w:rPr>
        <w:t xml:space="preserve">苏采云系统</w:t>
      </w:r>
      <w:r>
        <w:rPr>
          <w:rFonts w:ascii="宋体" w:hAnsi="宋体" w:cs="宋体"/>
          <w:color w:val="000000"/>
          <w:sz w:val="24"/>
        </w:rPr>
        <w:t xml:space="preserve">中向其发布“最后报价要求函”及最后报价格式表，要求其在规定时间内提交最后报价。</w:t>
      </w:r>
      <w:r/>
    </w:p>
    <w:p>
      <w:pPr>
        <w:ind w:firstLine="48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27.1.3供应商未在磋商小组规定的时间内在</w:t>
      </w:r>
      <w:r>
        <w:rPr>
          <w:rFonts w:ascii="宋体" w:hAnsi="宋体" w:cs="宋体"/>
          <w:color w:val="ff0000"/>
          <w:sz w:val="24"/>
        </w:rPr>
        <w:t xml:space="preserve">苏采云系统</w:t>
      </w:r>
      <w:r>
        <w:rPr>
          <w:rFonts w:ascii="宋体" w:hAnsi="宋体" w:cs="宋体"/>
          <w:color w:val="000000"/>
          <w:sz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ascii="宋体" w:hAnsi="宋体" w:cs="宋体"/>
          <w:color w:val="ff0000"/>
          <w:sz w:val="24"/>
        </w:rPr>
        <w:t xml:space="preserve">苏采云系统</w:t>
      </w:r>
      <w:r>
        <w:rPr>
          <w:rFonts w:ascii="宋体" w:hAnsi="宋体" w:cs="宋体"/>
          <w:color w:val="000000"/>
          <w:sz w:val="24"/>
        </w:rPr>
        <w:t xml:space="preserve">中提交“退出磋商函”并加盖CA电子公章。</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评审方法和评审标准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27.2.2评审标准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见本磋商文件第五章规定。</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27.3采购活动终止的情况</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出现下列情形之一的，本次竞争性磋商采购活动将被终止：</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27.3.1因情况变化，不再符合规定的竞争性磋商采购方式适用情形的。</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27.3.2出现影响采购公正的违法、违规行为的。</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27.3.3除本磋商文件第二章第27.1.2条第三款规定的情形外，在采购过程中符合</w:t>
      </w:r>
      <w:r>
        <w:rPr>
          <w:rFonts w:ascii="宋体" w:hAnsi="宋体" w:cs="宋体"/>
          <w:color w:val="000000"/>
          <w:sz w:val="24"/>
        </w:rPr>
        <w:t xml:space="preserve">要求的供应商或者最后报价未超过采购预算的供应商不足3家的。</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27.3.4在</w:t>
      </w:r>
      <w:r>
        <w:rPr>
          <w:rFonts w:ascii="宋体" w:hAnsi="宋体" w:cs="宋体"/>
          <w:color w:val="ff0000"/>
          <w:sz w:val="24"/>
        </w:rPr>
        <w:t xml:space="preserve">苏采云系统</w:t>
      </w:r>
      <w:r>
        <w:rPr>
          <w:rFonts w:ascii="宋体" w:hAnsi="宋体" w:cs="宋体"/>
          <w:color w:val="000000"/>
          <w:sz w:val="24"/>
        </w:rPr>
        <w:t xml:space="preserve">规定时间内成功解密电子响应文件的供应商不足3家的。</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六、成交</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28、确定成交单位</w:t>
      </w:r>
      <w:r/>
    </w:p>
    <w:p>
      <w:pPr>
        <w:ind w:firstLine="478"/>
        <w:spacing w:after="156"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采购人从评审报告提出的成交候选供应商中，按照排序由高到低的原则确定成交供应商，成交候选人并列的，由采购人依法确定。采购人确定成交供应商后，采购中心将在“江苏政府采购网、常州市政府采购网”发布成交结果公告，公告期限为1个工作日。</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28.3若有充分证据证明，成交供应商出现下列情况之一的，一经查实，将被取消成交资格：</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28.3.1提供虚假材料谋取成交的。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28.3.2与评审专家、采购人、其他供应商或者采购中心工作人员恶意串通的。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28.3.3向评审专家、采购人或采购中心工作人员行贿或者提供其他不正当利益的。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28.3.4恶意竞争，最后报价明显低于其自身合理成本且又无法提供证明的。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28.3.5不满足本磋商文件规定的实质性要求，但在评审过程中又未被磋商小组发现的。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28.3.6成交后无正当理由拒不与采购人签订政府采购合同或者未按照磋商文件确定的事项签订政府采购合同的。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28.3.7将政府采购合同转包的。</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29、质疑处理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29.2.1对可以质疑的采购文件提出质疑的，为收到采购文件之日或者采购文件公告期限届满之日。</w:t>
      </w:r>
      <w:r>
        <w:rPr>
          <w:rFonts w:ascii="宋体" w:hAnsi="宋体" w:cs="宋体"/>
          <w:color w:val="000000"/>
          <w:sz w:val="24"/>
        </w:rPr>
        <w:br/>
      </w:r>
      <w:r>
        <w:rPr>
          <w:rFonts w:ascii="Times New Roman" w:hAnsi="Times New Roman" w:eastAsia="Times New Roman"/>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r>
      <w:r>
        <w:rPr>
          <w:rFonts w:ascii="Times New Roman" w:hAnsi="Times New Roman" w:eastAsia="Times New Roman"/>
          <w:color w:val="000000"/>
          <w:sz w:val="24"/>
        </w:rPr>
        <w:t xml:space="preserve"> </w:t>
      </w:r>
      <w:r>
        <w:rPr>
          <w:rFonts w:ascii="宋体" w:hAnsi="宋体" w:cs="宋体"/>
          <w:color w:val="000000"/>
          <w:sz w:val="24"/>
        </w:rPr>
        <w:t xml:space="preserve">29.2.3对成交结果提出质疑的，为成交结果公告期限届满之日。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 以下情形的质疑不予受理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29.5.1内容不符合《政府采购质疑和投诉办法》第十二条规定的质疑。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29.5.2 超出政府采购法定期限的质疑。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29.5.3 以传真、电子邮件等方式递交的非原件形式的质疑。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29.5.4 未参加磋商活动的供应商或在磋商活动中自身权益未受到损害的供应商所提出的质疑。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29.5.5供应商组成联合体参加磋商，联合体中任何一方或多方未按要求签字、盖</w:t>
      </w:r>
      <w:r>
        <w:rPr>
          <w:rFonts w:ascii="宋体" w:hAnsi="宋体" w:cs="宋体"/>
          <w:color w:val="000000"/>
          <w:sz w:val="24"/>
        </w:rPr>
        <w:t xml:space="preserve">章、加盖公章的质疑。</w:t>
      </w:r>
      <w:r/>
    </w:p>
    <w:p>
      <w:pPr>
        <w:ind w:firstLine="468"/>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30、成交通知书</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30.1成交结果确定后，采购中心将向成交供应商发出成交通知书。请成交供应商在成交结果公告届满之日起30日内,使用CA数字证书登录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及时下载成交通知书。因系统存储空间有限，自成交结果公告届满之日起30日后，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不再保证提供下载成交通知书服务,因未及时下载而造成的不利后果由成交供应商自行承担。</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 签订合同</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31.l成交供应商应当在成交通知书发出之日起三十日内，按照磋商文件确定的事项与采购人签订政府采购合同。</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32、标的物的追加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9"/>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33、需要执行的政府采购政策（包括但不限于）</w:t>
      </w:r>
      <w:r>
        <w:rPr>
          <w:rFonts w:ascii="Times New Roman" w:hAnsi="Times New Roman" w:eastAsia="Times New Roman" w:cs="Times New Roman"/>
          <w:color w:val="000000"/>
          <w:sz w:val="24"/>
        </w:rPr>
        <w:t xml:space="preserve"> </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33.1履约资金扶持政策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33.2进口产品</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33.3中小企业、监狱企业及残疾人福利性单位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33.3.1中小企业定义：</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33.3.2供应商提供的货物、工程或者服务符合下列情形的，享受中小企业扶持政策：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33.3.2.1在货物采购项目中，货物由中小企业制造，即货物由中小企业生产且使用该中小企业商号或者注册商标；</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33.3.2.2在工程采购项目中，工程由中小企业承建，即工程施工单位为中小企业；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33.3.2.3在服务采购项目中，服务由中小企业承接，即提供服务的人员为中小企业依照《中华人民共和国劳动合同法》订立劳动合同的从业人员。</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33.3.3在货物采购项目中，供应商提供的货物既有中小企业制造货物，也有大型企业制造货物的，不享受中小企业扶持政策。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33.3.4以联合体形式参加政府采购活动，联合体各方均为中小企业的，联合体视同中小企业。其中，联合体各方均为小微企业的，联合体视同小微企业。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33.3.5监狱企业定义：是指由司法部认定的为罪犯、戒毒人员提供生产项目和劳</w:t>
      </w:r>
      <w:r>
        <w:rPr>
          <w:rFonts w:ascii="宋体" w:hAnsi="宋体" w:cs="宋体"/>
          <w:color w:val="000000"/>
          <w:sz w:val="24"/>
        </w:rPr>
        <w:t xml:space="preserve">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33.3.6残疾人福利单位定义：享受政府采购支持政策的残疾人福利性单位应当同时满足以下条件：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33.3.6.1安置的残疾人占本单位在职职工人数的比例不低于25%（含25%），并且安置的残疾人人数不少于10 人（含10 人）；</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33.3.6.2依法与安置的每位残疾人签订了一年以上（含一年）的劳动合同或服务协议；</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33.3.6.3为安置的每位残疾人按月足额缴纳了基本养老保险、基本医疗保险、失业保险、工伤保险和生育保险等社会保险费；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33.3.6.4通过银行等金融机构向安置的每位残疾人，按月支付了不低于单位所在区县适用的经省级人民政府批准的月最低工资标准的工资；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33.3.7本项目是否专门面向中小企业预留采购份额见第一章《投标邀请》。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33.3.8采购标的对应的中小企业划分标准所属行业见第四章《采购需求》。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33.3.9小微企业价格评审优惠的政策调整：见第五章《评标方法和评标标准》。</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33.4政府采购节能产品、环境标志产品</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33.4.2采购人拟采购的产品属于品目清单范围的，采购人及其委托的采购代理机</w:t>
      </w:r>
      <w:r>
        <w:rPr>
          <w:rFonts w:ascii="宋体" w:hAnsi="宋体" w:cs="宋体"/>
          <w:color w:val="000000"/>
          <w:sz w:val="24"/>
        </w:rPr>
        <w:t xml:space="preserve">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33.4.2非政府强制采购的节能产品或环境标志产品，依据品目清单和认证证书实施政府优先采购。优先采购的具体规定见第五章《评标方法和评标标准》（如涉及）。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33.5绿色包装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33.6支持乡村产业振兴管理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33.7正版软件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 号）。</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33.8政府采购创新产品政策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33.9绿色数据中心政策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rPr>
          <w:rFonts w:ascii="宋体" w:hAnsi="宋体" w:cs="宋体"/>
          <w:b/>
          <w:color w:val="000000"/>
          <w:sz w:val="24"/>
        </w:rPr>
        <w:t xml:space="preserve">33.10履约保证金相关政策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640"/>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w:t>
      </w:r>
      <w:r>
        <w:rPr>
          <w:rFonts w:eastAsia="黑体" w:cs="Calibri"/>
          <w:color w:val="000000"/>
          <w:sz w:val="44"/>
        </w:rPr>
        <w:t xml:space="preserve"> </w:t>
      </w:r>
      <w:r>
        <w:rPr>
          <w:rFonts w:ascii="黑体" w:hAnsi="黑体" w:eastAsia="黑体" w:cs="黑体"/>
          <w:color w:val="000000"/>
          <w:sz w:val="44"/>
        </w:rPr>
        <w:t xml:space="preserve"> 合同文本</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以下为成交后签定本项目合同的通用条款，成交供应商不得提出实质性的修改。</w:t>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ascii="宋体" w:hAnsi="宋体" w:cs="宋体"/>
          <w:color w:val="000000"/>
          <w:sz w:val="24"/>
          <w:u w:val="single"/>
        </w:rPr>
        <w:t xml:space="preserve">         </w:t>
      </w:r>
      <w:r>
        <w:rPr>
          <w:rFonts w:ascii="宋体" w:hAnsi="宋体" w:cs="宋体"/>
          <w:color w:val="000000"/>
          <w:sz w:val="24"/>
        </w:rPr>
        <w:t xml:space="preserve">项目竞争性磋商的结果，签署本合同。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3.1乙方应按磋商文件规定的时间向甲方提供与合同标的有关的技术资料。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乙方保证所交付的合同标的的所有权完全属于乙方且无任何抵押、查封等产权瑕疵。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ascii="宋体" w:hAnsi="宋体" w:cs="宋体"/>
          <w:color w:val="000000"/>
          <w:sz w:val="24"/>
          <w:u w:val="single"/>
        </w:rPr>
        <w:t xml:space="preserve">(不收取)</w:t>
      </w:r>
      <w:r>
        <w:rPr>
          <w:rFonts w:ascii="宋体" w:hAnsi="宋体" w:cs="宋体"/>
          <w:color w:val="000000"/>
          <w:sz w:val="24"/>
        </w:rPr>
        <w:t xml:space="preserve">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w:t>
      </w:r>
      <w:r>
        <w:rPr>
          <w:rFonts w:hAnsi="宋体"/>
          <w:sz w:val="24"/>
          <w:szCs w:val="24"/>
        </w:rPr>
        <w:t xml:space="preserve">乙方交纳人民币</w:t>
      </w:r>
      <w:r>
        <w:rPr>
          <w:rFonts w:hint="eastAsia" w:hAnsi="宋体"/>
          <w:sz w:val="24"/>
          <w:szCs w:val="24"/>
        </w:rPr>
        <w:t xml:space="preserve"> /</w:t>
      </w:r>
      <w:r>
        <w:rPr>
          <w:rFonts w:hAnsi="宋体"/>
          <w:sz w:val="24"/>
          <w:szCs w:val="24"/>
        </w:rPr>
        <w:t xml:space="preserve">元作为本合同的履约保证金。（不得超过合同金额的</w:t>
      </w:r>
      <w:r>
        <w:rPr>
          <w:rFonts w:hAnsi="宋体"/>
          <w:sz w:val="24"/>
          <w:szCs w:val="24"/>
        </w:rPr>
        <w:t xml:space="preserve">5%</w:t>
      </w:r>
      <w:r>
        <w:rPr>
          <w:rFonts w:hAnsi="宋体"/>
          <w:sz w:val="24"/>
          <w:szCs w:val="24"/>
        </w:rPr>
        <w:t xml:space="preserve">）。供应商可以自主选择以支票、汇票、本票、保函（保险）等非现金形式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20" w:after="12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56" w:after="156"/>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8.1分期付款：合同签订后，乙方项目实施每3个月，甲方组织对项目实施情况进行考核，支付合同金额的20%支付考核服务期内服务费用标准，其中涉及预付款的：合同签订后，预付合同金额的20%。在签订合同时，乙方明确表示无需预付款或者主动要求降低预付款比例的，可不适用前述规定。满足合同约定支付条件的，自收到发票后10个工作日内支付。</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w:t>
      </w:r>
      <w:r>
        <w:rPr>
          <w:rFonts w:ascii="宋体" w:hAnsi="宋体" w:cs="宋体"/>
          <w:color w:val="ff0000"/>
          <w:sz w:val="24"/>
        </w:rPr>
        <w:t xml:space="preserve">提供的合同标的的</w:t>
      </w:r>
      <w:r>
        <w:rPr>
          <w:rFonts w:ascii="宋体" w:hAnsi="宋体" w:cs="宋体"/>
          <w:color w:val="000000"/>
          <w:sz w:val="24"/>
        </w:rPr>
        <w:t xml:space="preserve">，甲方向乙方偿付拒绝接受合同价款总值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乙方交付合同标的的标准不符合合同规定及磋商文件规定标准的，甲方有权拒绝接受合同标的，并可单方面解除合同。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14.3本合同正本一式三份，具有同等法律效力，甲方、乙方及财政监管部门各执一份。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79" w:hanging="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ind w:firstLine="420"/>
        <w:spacing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rPr>
          <w:rFonts w:ascii="宋体" w:hAnsi="宋体" w:cs="宋体"/>
          <w:color w:val="000000"/>
        </w:rPr>
        <w:t xml:space="preserve">签订日期：</w:t>
      </w:r>
      <w:r>
        <w:rPr>
          <w:rFonts w:ascii="Times New Roman" w:hAnsi="Times New Roman" w:eastAsia="Times New Roman"/>
          <w:color w:val="000000"/>
        </w:rPr>
        <w:t xml:space="preserve">      </w:t>
      </w:r>
      <w:r>
        <w:rPr>
          <w:rFonts w:ascii="宋体" w:hAnsi="宋体" w:cs="宋体"/>
          <w:color w:val="000000"/>
        </w:rPr>
        <w:t xml:space="preserve">年</w:t>
      </w:r>
      <w:r>
        <w:rPr>
          <w:rFonts w:ascii="Times New Roman" w:hAnsi="Times New Roman" w:eastAsia="Times New Roman"/>
          <w:color w:val="000000"/>
        </w:rPr>
        <w:t xml:space="preserve">    </w:t>
      </w:r>
      <w:r>
        <w:rPr>
          <w:rFonts w:ascii="宋体" w:hAnsi="宋体" w:cs="宋体"/>
          <w:color w:val="000000"/>
        </w:rPr>
        <w:t xml:space="preserve">月</w:t>
      </w:r>
      <w:r>
        <w:rPr>
          <w:rFonts w:ascii="Times New Roman" w:hAnsi="Times New Roman" w:eastAsia="Times New Roman"/>
          <w:color w:val="000000"/>
        </w:rPr>
        <w:t xml:space="preserve">   </w:t>
      </w:r>
      <w:r>
        <w:rPr>
          <w:rFonts w:ascii="宋体" w:hAnsi="宋体" w:cs="宋体"/>
          <w:color w:val="000000"/>
        </w:rPr>
        <w:t xml:space="preserve">日</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26"/>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contextualSpacing/>
        <w:spacing w:line="360" w:lineRule="exact"/>
        <w:rPr>
          <w:bCs/>
          <w:sz w:val="24"/>
        </w:rPr>
      </w:pPr>
      <w:r>
        <w:rPr>
          <w:bCs/>
          <w:sz w:val="24"/>
        </w:rPr>
        <w:t xml:space="preserve">1.</w:t>
      </w:r>
      <w:r>
        <w:rPr>
          <w:rFonts w:hint="eastAsia"/>
          <w:bCs/>
          <w:sz w:val="24"/>
        </w:rPr>
        <w:t xml:space="preserve">项目名称：常州市应急管理局信息化项目运维管理服务</w:t>
      </w:r>
      <w:r>
        <w:rPr>
          <w:bCs/>
          <w:sz w:val="24"/>
        </w:rPr>
        <w:t xml:space="preserve"> </w:t>
      </w:r>
      <w:r/>
    </w:p>
    <w:p>
      <w:pPr>
        <w:spacing w:line="360" w:lineRule="exact"/>
        <w:rPr>
          <w:rFonts w:hint="eastAsia" w:ascii="宋体" w:hAnsi="宋体"/>
          <w:sz w:val="24"/>
        </w:rPr>
      </w:pPr>
      <w:r>
        <w:rPr>
          <w:rFonts w:hint="eastAsia" w:ascii="宋体" w:hAnsi="宋体"/>
          <w:sz w:val="24"/>
        </w:rPr>
        <w:t xml:space="preserve">2.预算金额：</w:t>
      </w:r>
      <w:r>
        <w:rPr>
          <w:rFonts w:hint="eastAsia" w:ascii="宋体" w:hAnsi="宋体" w:cs="宋体"/>
          <w:color w:val="000000"/>
          <w:sz w:val="24"/>
        </w:rPr>
        <w:t xml:space="preserve">90万元</w:t>
      </w:r>
      <w:r>
        <w:rPr>
          <w:rFonts w:ascii="宋体" w:hAnsi="宋体"/>
          <w:sz w:val="24"/>
        </w:rPr>
        <w:t xml:space="preserve"> </w:t>
      </w:r>
      <w:r/>
    </w:p>
    <w:p>
      <w:pPr>
        <w:spacing w:line="360" w:lineRule="exact"/>
        <w:rPr>
          <w:rFonts w:hint="eastAsia" w:ascii="宋体" w:hAnsi="宋体"/>
          <w:sz w:val="24"/>
        </w:rPr>
      </w:pPr>
      <w:r>
        <w:rPr>
          <w:rFonts w:hint="eastAsia" w:ascii="宋体" w:hAnsi="宋体"/>
          <w:sz w:val="24"/>
        </w:rPr>
        <w:t xml:space="preserve">3.最高限价：</w:t>
      </w:r>
      <w:r>
        <w:rPr>
          <w:rFonts w:hint="eastAsia" w:ascii="宋体" w:hAnsi="宋体" w:cs="宋体"/>
          <w:color w:val="000000"/>
          <w:sz w:val="24"/>
        </w:rPr>
        <w:t xml:space="preserve">90万元</w:t>
      </w:r>
      <w:r/>
    </w:p>
    <w:p>
      <w:pPr>
        <w:spacing w:line="360" w:lineRule="exact"/>
      </w:pPr>
      <w:r>
        <w:rPr>
          <w:rFonts w:hint="eastAsia" w:ascii="宋体" w:hAnsi="宋体"/>
          <w:sz w:val="24"/>
        </w:rPr>
        <w:t xml:space="preserve">4.采购项目概况（简介）：</w:t>
      </w:r>
      <w:r>
        <w:rPr>
          <w:rFonts w:hint="eastAsia" w:ascii="宋体" w:hAnsi="宋体" w:cs="宋体"/>
          <w:color w:val="000000"/>
          <w:sz w:val="24"/>
        </w:rPr>
        <w:t xml:space="preserve">本项目是常州市应急管理局信息化项目运维管理服务，服务内容包括软件系统运维、软件基础支撑能力、网络安全技术服务和网络线路资源租用等服务。</w:t>
      </w:r>
      <w:r/>
    </w:p>
    <w:p>
      <w:pPr>
        <w:spacing w:line="360" w:lineRule="exact"/>
        <w:rPr>
          <w:rFonts w:hint="eastAsia" w:ascii="宋体" w:hAnsi="宋体"/>
          <w:sz w:val="24"/>
        </w:rPr>
      </w:pPr>
      <w:r>
        <w:rPr>
          <w:rFonts w:hint="eastAsia" w:ascii="宋体" w:hAnsi="宋体"/>
          <w:sz w:val="24"/>
        </w:rPr>
        <w:t xml:space="preserve">5.合同履行期限：</w:t>
      </w:r>
      <w:r>
        <w:rPr>
          <w:rFonts w:ascii="宋体" w:hAnsi="宋体" w:cs="宋体"/>
          <w:color w:val="000000"/>
          <w:sz w:val="24"/>
        </w:rPr>
        <w:t xml:space="preserve">本项目运维周期为12个月（</w:t>
      </w:r>
      <w:r>
        <w:rPr>
          <w:rFonts w:hint="eastAsia" w:ascii="宋体" w:hAnsi="宋体" w:cs="宋体"/>
          <w:color w:val="000000"/>
          <w:sz w:val="24"/>
        </w:rPr>
        <w:t xml:space="preserve">自</w:t>
      </w:r>
      <w:r>
        <w:rPr>
          <w:rFonts w:ascii="宋体" w:hAnsi="宋体" w:cs="宋体"/>
          <w:color w:val="000000"/>
          <w:sz w:val="24"/>
        </w:rPr>
        <w:t xml:space="preserve">签订合同</w:t>
      </w:r>
      <w:r>
        <w:rPr>
          <w:rFonts w:hint="eastAsia" w:ascii="宋体" w:hAnsi="宋体" w:cs="宋体"/>
          <w:color w:val="000000"/>
          <w:sz w:val="24"/>
        </w:rPr>
        <w:t xml:space="preserve">之日</w:t>
      </w:r>
      <w:r>
        <w:rPr>
          <w:rFonts w:ascii="宋体" w:hAnsi="宋体" w:cs="宋体"/>
          <w:color w:val="000000"/>
          <w:sz w:val="24"/>
        </w:rPr>
        <w:t xml:space="preserve">起</w:t>
      </w:r>
      <w:r>
        <w:rPr>
          <w:rFonts w:hint="eastAsia" w:ascii="宋体" w:hAnsi="宋体" w:cs="宋体"/>
          <w:color w:val="000000"/>
          <w:sz w:val="24"/>
        </w:rPr>
        <w:t xml:space="preserve">计算</w:t>
      </w:r>
      <w:r>
        <w:rPr>
          <w:rFonts w:ascii="宋体" w:hAnsi="宋体" w:cs="宋体"/>
          <w:color w:val="000000"/>
          <w:sz w:val="24"/>
        </w:rPr>
        <w:t xml:space="preserve">）</w:t>
      </w:r>
      <w:r/>
    </w:p>
    <w:p>
      <w:pPr>
        <w:spacing w:line="360" w:lineRule="exact"/>
        <w:rPr>
          <w:rFonts w:hint="eastAsia" w:ascii="宋体" w:hAnsi="宋体" w:cs="宋体"/>
          <w:color w:val="000000"/>
          <w:sz w:val="24"/>
        </w:rPr>
      </w:pPr>
      <w:r>
        <w:rPr>
          <w:rFonts w:hint="eastAsia" w:ascii="宋体" w:hAnsi="宋体"/>
          <w:sz w:val="24"/>
        </w:rPr>
        <w:t xml:space="preserve">6.是/否接受联合体投标：</w:t>
      </w:r>
      <w:r>
        <w:rPr>
          <w:rFonts w:hint="eastAsia" w:ascii="宋体" w:hAnsi="宋体" w:cs="宋体"/>
          <w:color w:val="000000"/>
          <w:sz w:val="24"/>
        </w:rPr>
        <w:t xml:space="preserve">否</w:t>
      </w:r>
      <w:r/>
    </w:p>
    <w:p>
      <w:pPr>
        <w:spacing w:line="360" w:lineRule="exact"/>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p>
    <w:p>
      <w:pPr>
        <w:spacing w:line="360" w:lineRule="exact"/>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spacing w:line="360" w:lineRule="exact"/>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spacing w:line="360" w:lineRule="exact"/>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专门面向中小企业预留采购份额</w:t>
      </w:r>
      <w:r>
        <w:rPr>
          <w:rFonts w:hint="eastAsia"/>
          <w:sz w:val="24"/>
        </w:rPr>
        <w:t xml:space="preserve">：是</w:t>
      </w:r>
      <w:r/>
    </w:p>
    <w:p>
      <w:pPr>
        <w:spacing w:line="360" w:lineRule="exact"/>
        <w:rPr>
          <w:rFonts w:hint="eastAsia" w:ascii="宋体" w:hAnsi="宋体"/>
          <w:bCs/>
          <w:sz w:val="24"/>
        </w:rPr>
      </w:pPr>
      <w:r>
        <w:rPr>
          <w:rFonts w:hint="eastAsia"/>
          <w:sz w:val="24"/>
        </w:rPr>
        <w:t xml:space="preserve">11.</w:t>
      </w:r>
      <w:r>
        <w:rPr>
          <w:rFonts w:hint="eastAsia"/>
          <w:sz w:val="24"/>
        </w:rPr>
        <w:t xml:space="preserve">本项目的特定资格要求：</w:t>
      </w:r>
      <w:r>
        <w:rPr>
          <w:rFonts w:hint="eastAsia" w:ascii="宋体" w:hAnsi="宋体"/>
          <w:bCs/>
          <w:sz w:val="24"/>
        </w:rPr>
        <w:t xml:space="preserve">无</w:t>
      </w:r>
      <w:r/>
    </w:p>
    <w:p>
      <w:pPr>
        <w:spacing w:line="360" w:lineRule="exact"/>
        <w:rPr>
          <w:rFonts w:hint="eastAsia" w:ascii="宋体" w:hAnsi="宋体"/>
          <w:bCs/>
          <w:sz w:val="24"/>
        </w:rPr>
      </w:pPr>
      <w:r>
        <w:rPr>
          <w:rFonts w:hint="eastAsia" w:ascii="宋体" w:hAnsi="宋体"/>
          <w:bCs/>
          <w:sz w:val="24"/>
        </w:rPr>
        <w:t xml:space="preserve">12.项目类别：服务类</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二、商务要求</w:t>
      </w:r>
      <w:r/>
    </w:p>
    <w:p>
      <w:pPr>
        <w:rPr>
          <w:i/>
          <w:sz w:val="24"/>
        </w:rPr>
      </w:pPr>
      <w:r>
        <w:rPr>
          <w:sz w:val="24"/>
        </w:rPr>
        <w:t xml:space="preserve">1. </w:t>
      </w:r>
      <w:r>
        <w:rPr>
          <w:sz w:val="24"/>
        </w:rPr>
        <w:t xml:space="preserve">交付（实施）的时间（期限）和地点（范围）</w:t>
      </w:r>
      <w:r/>
    </w:p>
    <w:p>
      <w:pPr>
        <w:spacing w:line="360" w:lineRule="exact"/>
        <w:rPr>
          <w:rFonts w:hint="eastAsia" w:ascii="宋体" w:hAnsi="宋体" w:cs="宋体"/>
          <w:sz w:val="24"/>
          <w:lang w:bidi="ar"/>
        </w:rPr>
      </w:pPr>
      <w:r>
        <w:rPr>
          <w:rFonts w:hint="eastAsia" w:ascii="宋体" w:hAnsi="宋体" w:cs="宋体"/>
          <w:sz w:val="24"/>
          <w:lang w:bidi="ar"/>
        </w:rPr>
        <w:t xml:space="preserve">服务期限：本项目运维周期为12个月。</w:t>
      </w:r>
      <w:r/>
    </w:p>
    <w:p>
      <w:pPr>
        <w:rPr>
          <w:i/>
          <w:sz w:val="24"/>
        </w:rPr>
      </w:pPr>
      <w:r>
        <w:rPr>
          <w:rFonts w:hint="eastAsia" w:ascii="宋体" w:hAnsi="宋体" w:cs="宋体"/>
          <w:sz w:val="24"/>
          <w:lang w:bidi="ar"/>
        </w:rPr>
        <w:t xml:space="preserve">服务地点：常州市应急管理局</w:t>
      </w:r>
      <w:r/>
    </w:p>
    <w:p>
      <w:pPr>
        <w:rPr>
          <w:sz w:val="24"/>
        </w:rPr>
      </w:pPr>
      <w:r>
        <w:rPr>
          <w:sz w:val="24"/>
        </w:rPr>
        <w:t xml:space="preserve">2. </w:t>
      </w:r>
      <w:r>
        <w:rPr>
          <w:sz w:val="24"/>
        </w:rPr>
        <w:t xml:space="preserve">付款条件（进度和方式）</w:t>
      </w:r>
      <w:r/>
    </w:p>
    <w:p>
      <w:pPr>
        <w:rPr>
          <w:sz w:val="24"/>
        </w:rPr>
      </w:pPr>
      <w:r>
        <w:rPr>
          <w:rFonts w:hint="eastAsia"/>
          <w:sz w:val="24"/>
        </w:rPr>
        <w:t xml:space="preserve">合同签订后，乙方项目实施每</w:t>
      </w:r>
      <w:r>
        <w:rPr>
          <w:rFonts w:hint="eastAsia"/>
          <w:sz w:val="24"/>
        </w:rPr>
        <w:t xml:space="preserve">3</w:t>
      </w:r>
      <w:r>
        <w:rPr>
          <w:rFonts w:hint="eastAsia"/>
          <w:sz w:val="24"/>
        </w:rPr>
        <w:t xml:space="preserve">个月，甲方组织对项目实施情况进行考核，支付合同金额的</w:t>
      </w:r>
      <w:r>
        <w:rPr>
          <w:rFonts w:hint="eastAsia"/>
          <w:sz w:val="24"/>
        </w:rPr>
        <w:t xml:space="preserve">20%</w:t>
      </w:r>
      <w:r>
        <w:rPr>
          <w:rFonts w:hint="eastAsia"/>
          <w:sz w:val="24"/>
        </w:rPr>
        <w:t xml:space="preserve">支付考核服务期内服务费用标准</w:t>
      </w:r>
      <w:r>
        <w:rPr>
          <w:sz w:val="24"/>
        </w:rPr>
        <w:t xml:space="preserve">，其中涉及预付款的：</w:t>
      </w:r>
      <w:r>
        <w:rPr>
          <w:rFonts w:hint="eastAsia"/>
          <w:sz w:val="24"/>
        </w:rPr>
        <w:t xml:space="preserve">合同签订后，预付合同金额的</w:t>
      </w:r>
      <w:r>
        <w:rPr>
          <w:rFonts w:hint="eastAsia"/>
          <w:sz w:val="24"/>
        </w:rPr>
        <w:t xml:space="preserve">20%</w:t>
      </w:r>
      <w:r>
        <w:rPr>
          <w:rFonts w:hint="eastAsia"/>
          <w:sz w:val="24"/>
        </w:rPr>
        <w:t xml:space="preserve">。</w:t>
      </w:r>
      <w:r>
        <w:rPr>
          <w:sz w:val="24"/>
        </w:rPr>
        <w:t xml:space="preserve">在签订合同时，</w:t>
      </w:r>
      <w:r>
        <w:rPr>
          <w:rFonts w:hint="eastAsia"/>
          <w:sz w:val="24"/>
        </w:rPr>
        <w:t xml:space="preserve">乙方</w:t>
      </w:r>
      <w:r>
        <w:rPr>
          <w:sz w:val="24"/>
        </w:rPr>
        <w:t xml:space="preserve">明确表示无需预付款或者主动要求降低预付款比例的，可不适用前述规定。满足合同约定支付条件的，自收到发票后</w:t>
      </w:r>
      <w:r>
        <w:rPr>
          <w:sz w:val="24"/>
        </w:rPr>
        <w:t xml:space="preserve">10</w:t>
      </w:r>
      <w:r>
        <w:rPr>
          <w:sz w:val="24"/>
        </w:rPr>
        <w:t xml:space="preserve">个工作日内支付。</w:t>
      </w:r>
      <w:r/>
    </w:p>
    <w:p>
      <w:pPr>
        <w:contextualSpacing/>
        <w:spacing w:line="360" w:lineRule="exact"/>
        <w:rPr>
          <w:sz w:val="24"/>
        </w:rPr>
      </w:pPr>
      <w:r>
        <w:rPr>
          <w:sz w:val="24"/>
        </w:rPr>
        <w:t xml:space="preserve">3. </w:t>
      </w:r>
      <w:r>
        <w:rPr>
          <w:sz w:val="24"/>
        </w:rPr>
        <w:t xml:space="preserve">包装和运输</w:t>
      </w:r>
      <w:r>
        <w:rPr>
          <w:rFonts w:hint="eastAsia"/>
          <w:sz w:val="24"/>
        </w:rPr>
        <w:t xml:space="preserve">：无</w:t>
      </w:r>
      <w:r/>
    </w:p>
    <w:p>
      <w:pPr>
        <w:contextualSpacing/>
        <w:spacing w:line="360" w:lineRule="exact"/>
        <w:rPr>
          <w:sz w:val="24"/>
        </w:rPr>
      </w:pPr>
      <w:r>
        <w:rPr>
          <w:sz w:val="24"/>
        </w:rPr>
        <w:t xml:space="preserve">4. </w:t>
      </w:r>
      <w:r>
        <w:rPr>
          <w:sz w:val="24"/>
        </w:rPr>
        <w:t xml:space="preserve">售后服务（质保期</w:t>
      </w:r>
      <w:r>
        <w:rPr>
          <w:rFonts w:hint="eastAsia"/>
          <w:sz w:val="24"/>
        </w:rPr>
        <w:t xml:space="preserve">等</w:t>
      </w:r>
      <w:r>
        <w:rPr>
          <w:sz w:val="24"/>
        </w:rPr>
        <w:t xml:space="preserve">）</w:t>
      </w:r>
      <w:r>
        <w:rPr>
          <w:rFonts w:hint="eastAsia"/>
          <w:sz w:val="24"/>
        </w:rPr>
        <w:t xml:space="preserve">：无</w:t>
      </w:r>
      <w:r/>
    </w:p>
    <w:p>
      <w:pPr>
        <w:contextualSpacing/>
        <w:spacing w:line="360" w:lineRule="exact"/>
        <w:rPr>
          <w:b/>
          <w:i/>
          <w:sz w:val="24"/>
        </w:rPr>
      </w:pPr>
      <w:r>
        <w:rPr>
          <w:sz w:val="24"/>
        </w:rPr>
        <w:t xml:space="preserve">5. </w:t>
      </w:r>
      <w:r>
        <w:rPr>
          <w:sz w:val="24"/>
        </w:rPr>
        <w:t xml:space="preserve">保险</w:t>
      </w:r>
      <w:r>
        <w:rPr>
          <w:rFonts w:hint="eastAsia"/>
          <w:sz w:val="24"/>
        </w:rPr>
        <w:t xml:space="preserve">：无</w:t>
      </w:r>
      <w:r/>
    </w:p>
    <w:p>
      <w:pPr>
        <w:spacing w:after="0"/>
        <w:pBdr>
          <w:top w:val="none" w:color="000000" w:sz="0" w:space="0"/>
          <w:left w:val="none" w:color="000000" w:sz="0" w:space="0"/>
          <w:bottom w:val="none" w:color="000000" w:sz="0" w:space="0"/>
          <w:right w:val="none" w:color="000000" w:sz="0" w:space="0"/>
        </w:pBdr>
      </w:pPr>
      <w:r>
        <w:rPr>
          <w:rFonts w:eastAsia="Calibri" w:cs="Calibri"/>
          <w:b/>
          <w:i/>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三、技术要求</w:t>
      </w:r>
      <w:r/>
    </w:p>
    <w:p>
      <w:pPr>
        <w:contextualSpacing/>
        <w:spacing w:line="360" w:lineRule="exact"/>
        <w:rPr>
          <w:rFonts w:hint="eastAsia" w:ascii="宋体" w:hAnsi="宋体" w:cs="宋体"/>
          <w:sz w:val="24"/>
          <w:highlight w:val="yellow"/>
        </w:rPr>
      </w:pPr>
      <w:r>
        <w:rPr>
          <w:rFonts w:hint="eastAsia" w:ascii="宋体" w:hAnsi="宋体" w:cs="宋体"/>
          <w:sz w:val="24"/>
          <w:highlight w:val="yellow"/>
        </w:rPr>
        <w:t xml:space="preserve">1. 基本要求</w:t>
      </w:r>
      <w:r/>
    </w:p>
    <w:p>
      <w:pPr>
        <w:contextualSpacing/>
        <w:ind w:firstLine="480"/>
        <w:spacing w:line="360" w:lineRule="exact"/>
        <w:rPr>
          <w:rFonts w:hint="eastAsia" w:ascii="宋体" w:hAnsi="宋体" w:cs="宋体"/>
          <w:sz w:val="24"/>
          <w:highlight w:val="yellow"/>
        </w:rPr>
      </w:pPr>
      <w:r>
        <w:rPr>
          <w:rFonts w:hint="eastAsia" w:ascii="宋体" w:hAnsi="宋体" w:cs="宋体"/>
          <w:sz w:val="24"/>
          <w:highlight w:val="yellow"/>
        </w:rPr>
        <w:t xml:space="preserve">1.1 采购标的需实现的功能或者目标</w:t>
      </w:r>
      <w:r/>
    </w:p>
    <w:p>
      <w:pPr>
        <w:pStyle w:val="1025"/>
        <w:ind w:firstLine="480"/>
        <w:jc w:val="both"/>
        <w:spacing w:line="360" w:lineRule="exact"/>
        <w:widowControl w:val="off"/>
        <w:rPr>
          <w:rFonts w:hint="eastAsia" w:ascii="宋体" w:eastAsia="宋体"/>
          <w:szCs w:val="24"/>
          <w:lang w:val="en-US"/>
        </w:rPr>
      </w:pPr>
      <w:r>
        <w:rPr>
          <w:rFonts w:hint="eastAsia" w:ascii="宋体" w:eastAsia="宋体"/>
          <w:szCs w:val="24"/>
          <w:lang w:val="en-US"/>
        </w:rPr>
        <w:t xml:space="preserve">本项目旨在解决采购人信息化项目软件系统运维、软件基础支撑能力、网络安全技术服务和网络线路资源租用等服务，确保常州市应急管理平台正常运转。</w:t>
      </w:r>
      <w:r/>
    </w:p>
    <w:p>
      <w:pPr>
        <w:pStyle w:val="1025"/>
        <w:ind w:firstLine="480"/>
        <w:jc w:val="both"/>
        <w:spacing w:line="360" w:lineRule="exact"/>
        <w:widowControl w:val="off"/>
        <w:rPr>
          <w:rFonts w:hint="eastAsia" w:ascii="宋体" w:eastAsia="宋体"/>
          <w:szCs w:val="24"/>
          <w:lang w:val="en-US"/>
        </w:rPr>
      </w:pPr>
      <w:r>
        <w:rPr>
          <w:rFonts w:hint="eastAsia" w:ascii="宋体" w:eastAsia="宋体"/>
          <w:szCs w:val="24"/>
          <w:lang w:val="en-US"/>
        </w:rPr>
        <w:t xml:space="preserve">1.加强信息系统运行维护管理，维护系统正常运行、记录系统的运行情况。</w:t>
      </w:r>
      <w:r/>
    </w:p>
    <w:p>
      <w:pPr>
        <w:pStyle w:val="1025"/>
        <w:ind w:firstLine="480"/>
        <w:jc w:val="both"/>
        <w:spacing w:line="360" w:lineRule="exact"/>
        <w:widowControl w:val="off"/>
        <w:rPr>
          <w:rFonts w:hint="eastAsia" w:ascii="宋体" w:eastAsia="宋体"/>
          <w:szCs w:val="24"/>
          <w:lang w:val="en-US"/>
        </w:rPr>
      </w:pPr>
      <w:r>
        <w:rPr>
          <w:rFonts w:hint="eastAsia" w:ascii="宋体" w:eastAsia="宋体"/>
          <w:szCs w:val="24"/>
          <w:lang w:val="en-US"/>
        </w:rPr>
        <w:t xml:space="preserve">2.保证业务系统的正常运行，确保采购人业务工作正常开展，适时调整部分业务系统流程，适应实际的工作开展。</w:t>
      </w:r>
      <w:r/>
    </w:p>
    <w:p>
      <w:pPr>
        <w:pStyle w:val="1025"/>
        <w:ind w:firstLine="480"/>
        <w:jc w:val="both"/>
        <w:spacing w:line="360" w:lineRule="exact"/>
        <w:widowControl w:val="off"/>
        <w:rPr>
          <w:rFonts w:hint="eastAsia" w:ascii="宋体" w:eastAsia="宋体"/>
          <w:szCs w:val="24"/>
          <w:lang w:val="en-US"/>
        </w:rPr>
      </w:pPr>
      <w:r>
        <w:rPr>
          <w:rFonts w:hint="eastAsia" w:ascii="宋体" w:eastAsia="宋体"/>
          <w:szCs w:val="24"/>
          <w:lang w:val="en-US"/>
        </w:rPr>
        <w:t xml:space="preserve">3.确保对外服务的信息应用系统正常运行，让各单位和市民使用采购人提供的一系列便捷的信息服务。</w:t>
      </w:r>
      <w:r/>
    </w:p>
    <w:p>
      <w:pPr>
        <w:contextualSpacing/>
        <w:ind w:firstLine="480"/>
        <w:spacing w:line="360" w:lineRule="exact"/>
        <w:rPr>
          <w:rFonts w:hint="eastAsia" w:ascii="宋体" w:hAnsi="宋体" w:cs="宋体"/>
          <w:sz w:val="24"/>
        </w:rPr>
      </w:pPr>
      <w:r>
        <w:rPr>
          <w:rFonts w:hint="eastAsia" w:ascii="宋体" w:hAnsi="宋体" w:cs="宋体"/>
          <w:sz w:val="24"/>
          <w:highlight w:val="yellow"/>
        </w:rPr>
        <w:t xml:space="preserve">1.2需执行的国家相关标准、行业标准、地方标准或者其他标准、规范</w:t>
      </w:r>
      <w:r/>
    </w:p>
    <w:p>
      <w:pPr>
        <w:ind w:firstLine="480"/>
        <w:spacing w:line="360" w:lineRule="exact"/>
        <w:rPr>
          <w:rFonts w:hint="eastAsia" w:ascii="宋体" w:hAnsi="宋体" w:cs="宋体"/>
          <w:sz w:val="24"/>
        </w:rPr>
      </w:pPr>
      <w:r>
        <w:rPr>
          <w:rFonts w:hint="eastAsia" w:ascii="宋体" w:hAnsi="宋体" w:cs="宋体"/>
          <w:color w:val="000000"/>
          <w:sz w:val="24"/>
        </w:rPr>
        <w:t xml:space="preserve">按照现行的国家标准或者行业标准执行。</w:t>
      </w:r>
      <w:r/>
    </w:p>
    <w:p>
      <w:pPr>
        <w:contextualSpacing/>
        <w:spacing w:line="360" w:lineRule="exact"/>
        <w:rPr>
          <w:rFonts w:hint="eastAsia" w:ascii="宋体" w:hAnsi="宋体" w:cs="宋体"/>
          <w:sz w:val="24"/>
        </w:rPr>
      </w:pPr>
      <w:r>
        <w:rPr>
          <w:rFonts w:hint="eastAsia" w:ascii="宋体" w:hAnsi="宋体" w:cs="宋体"/>
          <w:sz w:val="24"/>
        </w:rPr>
        <w:t xml:space="preserve">2. 服务内容及要求</w:t>
      </w:r>
      <w:r/>
    </w:p>
    <w:p>
      <w:pPr>
        <w:ind w:firstLine="482"/>
        <w:jc w:val="left"/>
        <w:spacing w:line="360" w:lineRule="exact"/>
        <w:rPr>
          <w:rFonts w:hint="eastAsia" w:ascii="宋体" w:hAnsi="宋体" w:cs="宋体"/>
          <w:b/>
          <w:color w:val="ff0000"/>
          <w:sz w:val="24"/>
        </w:rPr>
      </w:pPr>
      <w:r>
        <w:rPr>
          <w:rFonts w:hint="eastAsia" w:ascii="宋体" w:hAnsi="宋体" w:cs="宋体"/>
          <w:b/>
          <w:color w:val="ff0000"/>
          <w:sz w:val="24"/>
        </w:rPr>
        <w:t xml:space="preserve">2.1服务标准、期限 </w:t>
      </w:r>
      <w:r/>
    </w:p>
    <w:p>
      <w:pPr>
        <w:ind w:firstLine="482"/>
        <w:jc w:val="left"/>
        <w:spacing w:line="360" w:lineRule="exact"/>
        <w:rPr>
          <w:rFonts w:hint="eastAsia" w:ascii="宋体" w:hAnsi="宋体" w:cs="宋体"/>
          <w:bCs/>
          <w:color w:val="ff0000"/>
          <w:sz w:val="24"/>
        </w:rPr>
      </w:pPr>
      <w:r>
        <w:rPr>
          <w:rFonts w:hint="eastAsia" w:ascii="宋体" w:hAnsi="宋体" w:cs="宋体"/>
          <w:bCs/>
          <w:color w:val="ff0000"/>
          <w:sz w:val="24"/>
        </w:rPr>
        <w:t xml:space="preserve">服务标准：详见服务内容</w:t>
      </w:r>
      <w:r/>
    </w:p>
    <w:p>
      <w:pPr>
        <w:ind w:firstLine="482"/>
        <w:jc w:val="left"/>
        <w:spacing w:line="360" w:lineRule="exact"/>
        <w:rPr>
          <w:rFonts w:hint="eastAsia" w:ascii="宋体" w:hAnsi="宋体" w:cs="宋体"/>
          <w:bCs/>
          <w:color w:val="ff0000"/>
          <w:sz w:val="24"/>
        </w:rPr>
      </w:pPr>
      <w:r>
        <w:rPr>
          <w:rFonts w:hint="eastAsia" w:ascii="宋体" w:hAnsi="宋体" w:cs="宋体"/>
          <w:bCs/>
          <w:color w:val="ff0000"/>
          <w:sz w:val="24"/>
        </w:rPr>
        <w:t xml:space="preserve">服务期限：本项目运维周期为12个月（自签订合同之日起计算）</w:t>
      </w:r>
      <w:r/>
    </w:p>
    <w:p>
      <w:pPr>
        <w:ind w:firstLine="482"/>
        <w:jc w:val="left"/>
        <w:spacing w:line="360" w:lineRule="exact"/>
        <w:rPr>
          <w:rFonts w:hint="eastAsia" w:ascii="宋体" w:hAnsi="宋体" w:cs="宋体"/>
          <w:b/>
          <w:sz w:val="24"/>
        </w:rPr>
      </w:pPr>
      <w:r>
        <w:rPr>
          <w:rFonts w:hint="eastAsia" w:ascii="宋体" w:hAnsi="宋体" w:cs="宋体"/>
          <w:b/>
          <w:sz w:val="24"/>
        </w:rPr>
        <w:t xml:space="preserve">2.2 服务内容</w:t>
      </w:r>
      <w:r/>
    </w:p>
    <w:p>
      <w:pPr>
        <w:ind w:firstLine="482"/>
        <w:spacing w:line="360" w:lineRule="exact"/>
        <w:rPr>
          <w:rFonts w:hint="eastAsia" w:ascii="宋体" w:hAnsi="宋体" w:cs="宋体"/>
          <w:sz w:val="24"/>
          <w:lang w:bidi="ar"/>
        </w:rPr>
      </w:pPr>
      <w:r>
        <w:rPr>
          <w:rFonts w:hint="eastAsia" w:ascii="宋体" w:hAnsi="宋体" w:cs="宋体"/>
          <w:color w:val="000000"/>
          <w:sz w:val="24"/>
        </w:rPr>
        <w:t xml:space="preserve">中标单位应保证指派拥有丰富经验、熟悉网络系统及其设备和软硬件、具有独立处理相关技术问题能力的资深工程师为采购人提供服务。服务内容：软件系统运维管理，软件系统租用和应用服务，网络安全技术服务和网络线路资源租用服务。</w:t>
      </w:r>
      <w:r>
        <w:rPr>
          <w:rFonts w:hint="eastAsia" w:ascii="宋体" w:hAnsi="宋体" w:cs="宋体"/>
          <w:sz w:val="24"/>
          <w:lang w:bidi="ar"/>
        </w:rPr>
        <w:t xml:space="preserve">采购清单</w:t>
      </w:r>
      <w:r>
        <w:rPr>
          <w:rFonts w:hint="eastAsia" w:ascii="宋体" w:hAnsi="宋体" w:cs="宋体"/>
          <w:color w:val="ff0000"/>
          <w:sz w:val="24"/>
          <w:lang w:bidi="ar"/>
        </w:rPr>
        <w:t xml:space="preserve">详</w:t>
      </w:r>
      <w:r>
        <w:rPr>
          <w:rFonts w:hint="eastAsia" w:ascii="宋体" w:hAnsi="宋体" w:cs="宋体"/>
          <w:sz w:val="24"/>
          <w:lang w:bidi="ar"/>
        </w:rPr>
        <w:t xml:space="preserve">见下表：</w:t>
      </w:r>
      <w:r/>
    </w:p>
    <w:tbl>
      <w:tblPr>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7705"/>
      </w:tblGrid>
      <w:tr>
        <w:trPr/>
        <w:tc>
          <w:tcPr>
            <w:tcW w:w="709" w:type="dxa"/>
            <w:vAlign w:val="center"/>
            <w:textDirection w:val="lrTb"/>
            <w:noWrap w:val="false"/>
          </w:tcPr>
          <w:p>
            <w:pPr>
              <w:jc w:val="center"/>
              <w:spacing w:line="240" w:lineRule="auto"/>
              <w:rPr>
                <w:rFonts w:hint="eastAsia" w:ascii="宋体" w:hAnsi="宋体"/>
                <w:b/>
                <w:szCs w:val="21"/>
              </w:rPr>
            </w:pPr>
            <w:r>
              <w:rPr>
                <w:rFonts w:hint="eastAsia" w:ascii="宋体" w:hAnsi="宋体"/>
                <w:b/>
                <w:szCs w:val="21"/>
              </w:rPr>
              <w:t xml:space="preserve">序号</w:t>
            </w:r>
            <w:r/>
          </w:p>
        </w:tc>
        <w:tc>
          <w:tcPr>
            <w:tcW w:w="7705" w:type="dxa"/>
            <w:textDirection w:val="lrTb"/>
            <w:noWrap w:val="false"/>
          </w:tcPr>
          <w:p>
            <w:pPr>
              <w:jc w:val="center"/>
              <w:spacing w:line="240" w:lineRule="auto"/>
              <w:rPr>
                <w:rFonts w:hint="eastAsia" w:ascii="宋体" w:hAnsi="宋体"/>
                <w:b/>
                <w:szCs w:val="21"/>
              </w:rPr>
            </w:pPr>
            <w:r>
              <w:rPr>
                <w:rFonts w:hint="eastAsia" w:ascii="宋体" w:hAnsi="宋体"/>
                <w:b/>
                <w:szCs w:val="21"/>
              </w:rPr>
              <w:t xml:space="preserve">项目</w:t>
            </w:r>
            <w:r>
              <w:rPr>
                <w:rFonts w:ascii="宋体" w:hAnsi="宋体"/>
                <w:b/>
                <w:szCs w:val="21"/>
              </w:rPr>
              <w:t xml:space="preserve">名称</w:t>
            </w:r>
            <w:r/>
          </w:p>
        </w:tc>
      </w:tr>
      <w:tr>
        <w:trPr/>
        <w:tc>
          <w:tcPr>
            <w:tcW w:w="709" w:type="dxa"/>
            <w:vAlign w:val="center"/>
            <w:textDirection w:val="lrTb"/>
            <w:noWrap w:val="false"/>
          </w:tcPr>
          <w:p>
            <w:pPr>
              <w:jc w:val="center"/>
              <w:spacing w:line="240" w:lineRule="auto"/>
              <w:rPr>
                <w:rFonts w:hint="eastAsia" w:ascii="宋体" w:hAnsi="宋体" w:cs="宋体"/>
                <w:b/>
                <w:szCs w:val="21"/>
                <w:lang w:bidi="ar"/>
              </w:rPr>
            </w:pPr>
            <w:r>
              <w:rPr>
                <w:rFonts w:hint="eastAsia" w:ascii="宋体" w:hAnsi="宋体" w:cs="宋体"/>
                <w:b/>
                <w:szCs w:val="21"/>
                <w:lang w:bidi="ar"/>
              </w:rPr>
              <w:t xml:space="preserve">一</w:t>
            </w:r>
            <w:r/>
          </w:p>
        </w:tc>
        <w:tc>
          <w:tcPr>
            <w:tcW w:w="7705" w:type="dxa"/>
            <w:textDirection w:val="lrTb"/>
            <w:noWrap w:val="false"/>
          </w:tcPr>
          <w:p>
            <w:pPr>
              <w:jc w:val="left"/>
              <w:spacing w:line="240" w:lineRule="auto"/>
              <w:rPr>
                <w:rFonts w:hint="eastAsia" w:ascii="宋体" w:hAnsi="宋体" w:cs="宋体"/>
                <w:b/>
                <w:szCs w:val="21"/>
                <w:lang w:val="en" w:bidi="ar"/>
              </w:rPr>
            </w:pPr>
            <w:r>
              <w:rPr>
                <w:rFonts w:hint="eastAsia" w:ascii="宋体" w:hAnsi="宋体" w:cs="宋体"/>
                <w:b/>
                <w:szCs w:val="21"/>
                <w:lang w:bidi="ar"/>
              </w:rPr>
              <w:t xml:space="preserve">软</w:t>
            </w:r>
            <w:r>
              <w:rPr>
                <w:rFonts w:ascii="宋体" w:hAnsi="宋体" w:cs="宋体"/>
                <w:b/>
                <w:szCs w:val="21"/>
                <w:lang w:bidi="ar"/>
              </w:rPr>
              <w:t xml:space="preserve">件系统</w:t>
            </w:r>
            <w:r>
              <w:rPr>
                <w:rFonts w:hint="eastAsia" w:ascii="宋体" w:hAnsi="宋体" w:cs="宋体"/>
                <w:b/>
                <w:szCs w:val="21"/>
                <w:lang w:bidi="ar"/>
              </w:rPr>
              <w:t xml:space="preserve">运</w:t>
            </w:r>
            <w:r>
              <w:rPr>
                <w:rFonts w:ascii="宋体" w:hAnsi="宋体" w:cs="宋体"/>
                <w:b/>
                <w:szCs w:val="21"/>
                <w:lang w:bidi="ar"/>
              </w:rPr>
              <w:t xml:space="preserve">维</w:t>
            </w:r>
            <w:r>
              <w:rPr>
                <w:rFonts w:hint="eastAsia" w:ascii="宋体" w:hAnsi="宋体" w:cs="宋体"/>
                <w:b/>
                <w:szCs w:val="21"/>
                <w:lang w:bidi="ar"/>
              </w:rPr>
              <w:t xml:space="preserve">服务</w:t>
            </w:r>
            <w:r/>
          </w:p>
        </w:tc>
      </w:tr>
      <w:tr>
        <w:trPr/>
        <w:tc>
          <w:tcPr>
            <w:tcW w:w="709" w:type="dxa"/>
            <w:vAlign w:val="center"/>
            <w:textDirection w:val="lrTb"/>
            <w:noWrap w:val="false"/>
          </w:tcPr>
          <w:p>
            <w:pPr>
              <w:jc w:val="center"/>
              <w:spacing w:line="240" w:lineRule="auto"/>
              <w:rPr>
                <w:rFonts w:hint="eastAsia" w:ascii="宋体" w:hAnsi="宋体" w:cs="宋体"/>
                <w:szCs w:val="21"/>
                <w:lang w:val="en" w:bidi="ar"/>
              </w:rPr>
            </w:pPr>
            <w:r>
              <w:rPr>
                <w:rFonts w:ascii="宋体" w:hAnsi="宋体" w:cs="宋体"/>
                <w:szCs w:val="21"/>
                <w:lang w:val="en" w:bidi="ar"/>
              </w:rPr>
              <w:t xml:space="preserve">1</w:t>
            </w:r>
            <w:r/>
          </w:p>
        </w:tc>
        <w:tc>
          <w:tcPr>
            <w:tcW w:w="7705" w:type="dxa"/>
            <w:textDirection w:val="lrTb"/>
            <w:noWrap w:val="false"/>
          </w:tcPr>
          <w:p>
            <w:pPr>
              <w:jc w:val="left"/>
              <w:spacing w:line="240" w:lineRule="auto"/>
              <w:rPr>
                <w:rFonts w:hint="eastAsia" w:ascii="宋体" w:hAnsi="宋体" w:cs="宋体"/>
                <w:szCs w:val="21"/>
                <w:lang w:bidi="ar"/>
              </w:rPr>
            </w:pPr>
            <w:r>
              <w:rPr>
                <w:rFonts w:hint="eastAsia" w:ascii="宋体" w:hAnsi="宋体" w:cs="宋体"/>
                <w:szCs w:val="21"/>
                <w:lang w:bidi="ar"/>
              </w:rPr>
              <w:t xml:space="preserve">危险化学品安全生产风险监测预警系统</w:t>
            </w:r>
            <w:r/>
          </w:p>
        </w:tc>
      </w:tr>
      <w:tr>
        <w:trPr/>
        <w:tc>
          <w:tcPr>
            <w:tcW w:w="709" w:type="dxa"/>
            <w:vAlign w:val="center"/>
            <w:textDirection w:val="lrTb"/>
            <w:noWrap w:val="false"/>
          </w:tcPr>
          <w:p>
            <w:pPr>
              <w:jc w:val="center"/>
              <w:spacing w:line="240" w:lineRule="auto"/>
              <w:rPr>
                <w:rFonts w:hint="eastAsia" w:ascii="宋体" w:hAnsi="宋体" w:cs="宋体"/>
                <w:szCs w:val="21"/>
                <w:lang w:val="en" w:bidi="ar"/>
              </w:rPr>
            </w:pPr>
            <w:r>
              <w:rPr>
                <w:rFonts w:ascii="宋体" w:hAnsi="宋体" w:cs="宋体"/>
                <w:szCs w:val="21"/>
                <w:lang w:val="en" w:bidi="ar"/>
              </w:rPr>
              <w:t xml:space="preserve">2</w:t>
            </w:r>
            <w:r/>
          </w:p>
        </w:tc>
        <w:tc>
          <w:tcPr>
            <w:tcW w:w="7705" w:type="dxa"/>
            <w:textDirection w:val="lrTb"/>
            <w:noWrap w:val="false"/>
          </w:tcPr>
          <w:p>
            <w:pPr>
              <w:jc w:val="left"/>
              <w:spacing w:line="240" w:lineRule="auto"/>
              <w:rPr>
                <w:rFonts w:hint="eastAsia" w:ascii="宋体" w:hAnsi="宋体"/>
                <w:szCs w:val="21"/>
              </w:rPr>
            </w:pPr>
            <w:r>
              <w:rPr>
                <w:rFonts w:hint="eastAsia" w:ascii="宋体" w:hAnsi="宋体" w:cs="宋体"/>
                <w:szCs w:val="21"/>
                <w:lang w:bidi="ar"/>
              </w:rPr>
              <w:t xml:space="preserve">江苏省安全生产行政执法系统（常州）</w:t>
            </w:r>
            <w:r/>
          </w:p>
        </w:tc>
      </w:tr>
      <w:tr>
        <w:trPr/>
        <w:tc>
          <w:tcPr>
            <w:tcW w:w="709" w:type="dxa"/>
            <w:vAlign w:val="center"/>
            <w:textDirection w:val="lrTb"/>
            <w:noWrap w:val="false"/>
          </w:tcPr>
          <w:p>
            <w:pPr>
              <w:jc w:val="center"/>
              <w:spacing w:line="240" w:lineRule="auto"/>
              <w:rPr>
                <w:rFonts w:hint="eastAsia" w:ascii="宋体" w:hAnsi="宋体" w:cs="宋体"/>
                <w:szCs w:val="21"/>
                <w:lang w:val="en" w:bidi="ar"/>
              </w:rPr>
            </w:pPr>
            <w:r>
              <w:rPr>
                <w:rFonts w:ascii="宋体" w:hAnsi="宋体" w:cs="宋体"/>
                <w:szCs w:val="21"/>
                <w:lang w:val="en" w:bidi="ar"/>
              </w:rPr>
              <w:t xml:space="preserve">3</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常州市应急管理局移动应用融合升级、常州市应急管理局应急管理指挥信息系统、常州市应急管理局三年安全生产专项整治信息系统、常州市安全生产许可备案审批“一网通”</w:t>
            </w:r>
            <w:r/>
          </w:p>
        </w:tc>
      </w:tr>
      <w:tr>
        <w:trPr/>
        <w:tc>
          <w:tcPr>
            <w:tcW w:w="709" w:type="dxa"/>
            <w:vAlign w:val="center"/>
            <w:textDirection w:val="lrTb"/>
            <w:noWrap w:val="false"/>
          </w:tcPr>
          <w:p>
            <w:pPr>
              <w:jc w:val="center"/>
              <w:spacing w:line="240" w:lineRule="auto"/>
              <w:rPr>
                <w:rFonts w:hint="eastAsia" w:ascii="宋体" w:hAnsi="宋体" w:cs="宋体"/>
                <w:szCs w:val="21"/>
                <w:lang w:bidi="ar"/>
              </w:rPr>
            </w:pPr>
            <w:r>
              <w:rPr>
                <w:rFonts w:hint="eastAsia" w:ascii="宋体" w:hAnsi="宋体" w:cs="宋体"/>
                <w:szCs w:val="21"/>
                <w:lang w:bidi="ar"/>
              </w:rPr>
              <w:t xml:space="preserve">4</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常州市应急管理信息系统数据治理</w:t>
            </w:r>
            <w:r/>
          </w:p>
        </w:tc>
      </w:tr>
      <w:tr>
        <w:trPr/>
        <w:tc>
          <w:tcPr>
            <w:tcW w:w="709" w:type="dxa"/>
            <w:vAlign w:val="center"/>
            <w:textDirection w:val="lrTb"/>
            <w:noWrap w:val="false"/>
          </w:tcPr>
          <w:p>
            <w:pPr>
              <w:jc w:val="center"/>
              <w:spacing w:line="240" w:lineRule="auto"/>
              <w:rPr>
                <w:rFonts w:hint="eastAsia" w:ascii="宋体" w:hAnsi="宋体" w:cs="宋体"/>
                <w:b/>
                <w:szCs w:val="21"/>
                <w:lang w:bidi="ar"/>
              </w:rPr>
            </w:pPr>
            <w:r>
              <w:rPr>
                <w:rFonts w:hint="eastAsia" w:ascii="宋体" w:hAnsi="宋体" w:cs="宋体"/>
                <w:b/>
                <w:szCs w:val="21"/>
                <w:lang w:bidi="ar"/>
              </w:rPr>
              <w:t xml:space="preserve">二</w:t>
            </w:r>
            <w:r/>
          </w:p>
        </w:tc>
        <w:tc>
          <w:tcPr>
            <w:tcW w:w="7705" w:type="dxa"/>
            <w:textDirection w:val="lrTb"/>
            <w:noWrap w:val="false"/>
          </w:tcPr>
          <w:p>
            <w:pPr>
              <w:jc w:val="left"/>
              <w:spacing w:line="240" w:lineRule="auto"/>
              <w:rPr>
                <w:rFonts w:hint="eastAsia" w:ascii="宋体" w:hAnsi="宋体" w:cs="宋体"/>
                <w:b/>
                <w:szCs w:val="21"/>
                <w:lang w:bidi="ar"/>
              </w:rPr>
            </w:pPr>
            <w:r>
              <w:rPr>
                <w:rFonts w:ascii="宋体" w:hAnsi="宋体" w:cs="宋体"/>
                <w:b/>
                <w:szCs w:val="21"/>
                <w:lang w:bidi="ar"/>
              </w:rPr>
              <w:t xml:space="preserve">软件</w:t>
            </w:r>
            <w:r>
              <w:rPr>
                <w:rFonts w:hint="eastAsia" w:ascii="宋体" w:hAnsi="宋体" w:cs="宋体"/>
                <w:b/>
                <w:szCs w:val="21"/>
                <w:lang w:bidi="ar"/>
              </w:rPr>
              <w:t xml:space="preserve">系统</w:t>
            </w:r>
            <w:r>
              <w:rPr>
                <w:rFonts w:ascii="宋体" w:hAnsi="宋体" w:cs="宋体"/>
                <w:b/>
                <w:szCs w:val="21"/>
                <w:lang w:bidi="ar"/>
              </w:rPr>
              <w:t xml:space="preserve">租用</w:t>
            </w:r>
            <w:r/>
          </w:p>
        </w:tc>
      </w:tr>
      <w:tr>
        <w:trPr/>
        <w:tc>
          <w:tcPr>
            <w:tcW w:w="709" w:type="dxa"/>
            <w:vAlign w:val="center"/>
            <w:textDirection w:val="lrTb"/>
            <w:noWrap w:val="false"/>
          </w:tcPr>
          <w:p>
            <w:pPr>
              <w:jc w:val="center"/>
              <w:spacing w:line="240" w:lineRule="auto"/>
              <w:rPr>
                <w:rFonts w:hint="eastAsia" w:ascii="宋体" w:hAnsi="宋体" w:cs="宋体"/>
                <w:szCs w:val="21"/>
                <w:lang w:bidi="ar"/>
              </w:rPr>
            </w:pPr>
            <w:r>
              <w:rPr>
                <w:rFonts w:ascii="宋体" w:hAnsi="宋体" w:cs="宋体"/>
                <w:szCs w:val="21"/>
                <w:lang w:bidi="ar"/>
              </w:rPr>
              <w:t xml:space="preserve">1</w:t>
            </w:r>
            <w:r/>
          </w:p>
        </w:tc>
        <w:tc>
          <w:tcPr>
            <w:tcW w:w="7705" w:type="dxa"/>
            <w:textDirection w:val="lrTb"/>
            <w:noWrap w:val="false"/>
          </w:tcPr>
          <w:p>
            <w:pPr>
              <w:jc w:val="left"/>
              <w:spacing w:line="240" w:lineRule="auto"/>
              <w:rPr>
                <w:rFonts w:hint="eastAsia" w:ascii="宋体" w:hAnsi="宋体"/>
                <w:szCs w:val="21"/>
              </w:rPr>
            </w:pPr>
            <w:r>
              <w:rPr>
                <w:rFonts w:hint="eastAsia" w:ascii="宋体" w:hAnsi="宋体" w:cs="宋体"/>
                <w:szCs w:val="21"/>
                <w:lang w:bidi="ar"/>
              </w:rPr>
              <w:t xml:space="preserve">舆情监测系统</w:t>
            </w:r>
            <w:r/>
          </w:p>
        </w:tc>
      </w:tr>
      <w:tr>
        <w:trPr/>
        <w:tc>
          <w:tcPr>
            <w:tcW w:w="709" w:type="dxa"/>
            <w:vAlign w:val="center"/>
            <w:textDirection w:val="lrTb"/>
            <w:noWrap w:val="false"/>
          </w:tcPr>
          <w:p>
            <w:pPr>
              <w:jc w:val="center"/>
              <w:spacing w:line="240" w:lineRule="auto"/>
              <w:rPr>
                <w:rFonts w:hint="eastAsia" w:ascii="宋体" w:hAnsi="宋体" w:cs="宋体"/>
                <w:szCs w:val="21"/>
                <w:lang w:bidi="ar"/>
              </w:rPr>
            </w:pPr>
            <w:r>
              <w:rPr>
                <w:rFonts w:ascii="宋体" w:hAnsi="宋体" w:cs="宋体"/>
                <w:szCs w:val="21"/>
                <w:lang w:bidi="ar"/>
              </w:rPr>
              <w:t xml:space="preserve">2</w:t>
            </w:r>
            <w:r/>
          </w:p>
        </w:tc>
        <w:tc>
          <w:tcPr>
            <w:tcW w:w="7705" w:type="dxa"/>
            <w:textDirection w:val="lrTb"/>
            <w:noWrap w:val="false"/>
          </w:tcPr>
          <w:p>
            <w:pPr>
              <w:jc w:val="left"/>
              <w:spacing w:line="240" w:lineRule="auto"/>
              <w:rPr>
                <w:rFonts w:hint="eastAsia" w:ascii="宋体" w:hAnsi="宋体"/>
                <w:szCs w:val="21"/>
              </w:rPr>
            </w:pPr>
            <w:r>
              <w:rPr>
                <w:rFonts w:hint="eastAsia" w:ascii="宋体" w:hAnsi="宋体" w:cs="宋体"/>
                <w:szCs w:val="21"/>
                <w:lang w:bidi="ar"/>
              </w:rPr>
              <w:t xml:space="preserve">19枚电子审批签章嵌入平</w:t>
            </w:r>
            <w:r>
              <w:rPr>
                <w:rFonts w:ascii="宋体" w:hAnsi="宋体" w:cs="宋体"/>
                <w:szCs w:val="21"/>
                <w:lang w:bidi="ar"/>
              </w:rPr>
              <w:t xml:space="preserve">台</w:t>
            </w:r>
            <w:r/>
          </w:p>
        </w:tc>
      </w:tr>
      <w:tr>
        <w:trPr/>
        <w:tc>
          <w:tcPr>
            <w:tcW w:w="709" w:type="dxa"/>
            <w:vAlign w:val="center"/>
            <w:textDirection w:val="lrTb"/>
            <w:noWrap w:val="false"/>
          </w:tcPr>
          <w:p>
            <w:pPr>
              <w:jc w:val="center"/>
              <w:spacing w:line="240" w:lineRule="auto"/>
              <w:rPr>
                <w:rFonts w:hint="eastAsia" w:ascii="宋体" w:hAnsi="宋体" w:cs="宋体"/>
                <w:szCs w:val="21"/>
                <w:lang w:bidi="ar"/>
              </w:rPr>
            </w:pPr>
            <w:r>
              <w:rPr>
                <w:rFonts w:hint="eastAsia" w:ascii="宋体" w:hAnsi="宋体" w:cs="宋体"/>
                <w:szCs w:val="21"/>
                <w:lang w:bidi="ar"/>
              </w:rPr>
              <w:t xml:space="preserve">3</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重点监管企业视频云平台租用（含</w:t>
            </w:r>
            <w:r>
              <w:rPr>
                <w:rFonts w:ascii="宋体" w:hAnsi="宋体" w:cs="宋体"/>
                <w:szCs w:val="21"/>
                <w:lang w:val="en" w:bidi="ar"/>
              </w:rPr>
              <w:t xml:space="preserve">100</w:t>
            </w:r>
            <w:r>
              <w:rPr>
                <w:rFonts w:hint="eastAsia" w:ascii="宋体" w:hAnsi="宋体" w:cs="宋体"/>
                <w:szCs w:val="21"/>
                <w:lang w:bidi="ar"/>
              </w:rPr>
              <w:t xml:space="preserve">T视频存储池</w:t>
            </w:r>
            <w:r>
              <w:rPr>
                <w:rFonts w:hint="eastAsia" w:ascii="宋体" w:hAnsi="宋体" w:cs="宋体"/>
                <w:szCs w:val="21"/>
                <w:lang w:val="en" w:bidi="ar"/>
              </w:rPr>
              <w:t xml:space="preserve">）</w:t>
            </w:r>
            <w:r/>
          </w:p>
        </w:tc>
      </w:tr>
      <w:tr>
        <w:trPr/>
        <w:tc>
          <w:tcPr>
            <w:tcW w:w="709" w:type="dxa"/>
            <w:vAlign w:val="center"/>
            <w:textDirection w:val="lrTb"/>
            <w:noWrap w:val="false"/>
          </w:tcPr>
          <w:p>
            <w:pPr>
              <w:jc w:val="center"/>
              <w:spacing w:line="240" w:lineRule="auto"/>
              <w:rPr>
                <w:rFonts w:hint="eastAsia" w:ascii="宋体" w:hAnsi="宋体" w:cs="宋体"/>
                <w:szCs w:val="21"/>
                <w:lang w:bidi="ar"/>
              </w:rPr>
            </w:pPr>
            <w:r>
              <w:rPr>
                <w:rFonts w:hint="eastAsia" w:ascii="宋体" w:hAnsi="宋体" w:cs="宋体"/>
                <w:szCs w:val="21"/>
                <w:lang w:bidi="ar"/>
              </w:rPr>
              <w:t xml:space="preserve">4</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云视频点播等服务</w:t>
            </w:r>
            <w:r/>
          </w:p>
        </w:tc>
      </w:tr>
      <w:tr>
        <w:trPr/>
        <w:tc>
          <w:tcPr>
            <w:tcW w:w="709" w:type="dxa"/>
            <w:vAlign w:val="center"/>
            <w:textDirection w:val="lrTb"/>
            <w:noWrap w:val="false"/>
          </w:tcPr>
          <w:p>
            <w:pPr>
              <w:jc w:val="center"/>
              <w:spacing w:line="240" w:lineRule="auto"/>
              <w:rPr>
                <w:rFonts w:hint="eastAsia" w:ascii="宋体" w:hAnsi="宋体" w:cs="宋体"/>
                <w:szCs w:val="21"/>
                <w:lang w:bidi="ar"/>
              </w:rPr>
            </w:pPr>
            <w:r>
              <w:rPr>
                <w:rFonts w:hint="eastAsia" w:ascii="宋体" w:hAnsi="宋体" w:cs="宋体"/>
                <w:szCs w:val="21"/>
                <w:lang w:bidi="ar"/>
              </w:rPr>
              <w:t xml:space="preserve">5</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12350智能外呼服务、技术维护等智能外呼技术支持服务</w:t>
            </w:r>
            <w:r/>
          </w:p>
        </w:tc>
      </w:tr>
      <w:tr>
        <w:trPr/>
        <w:tc>
          <w:tcPr>
            <w:tcW w:w="709" w:type="dxa"/>
            <w:vAlign w:val="center"/>
            <w:textDirection w:val="lrTb"/>
            <w:noWrap w:val="false"/>
          </w:tcPr>
          <w:p>
            <w:pPr>
              <w:jc w:val="center"/>
              <w:spacing w:line="240" w:lineRule="auto"/>
              <w:rPr>
                <w:rFonts w:hint="eastAsia" w:ascii="宋体" w:hAnsi="宋体" w:cs="宋体"/>
                <w:b/>
                <w:szCs w:val="21"/>
                <w:lang w:bidi="ar"/>
              </w:rPr>
            </w:pPr>
            <w:r>
              <w:rPr>
                <w:rFonts w:hint="eastAsia" w:ascii="宋体" w:hAnsi="宋体" w:cs="宋体"/>
                <w:b/>
                <w:szCs w:val="21"/>
                <w:lang w:bidi="ar"/>
              </w:rPr>
              <w:t xml:space="preserve">三</w:t>
            </w:r>
            <w:r/>
          </w:p>
        </w:tc>
        <w:tc>
          <w:tcPr>
            <w:tcW w:w="7705" w:type="dxa"/>
            <w:textDirection w:val="lrTb"/>
            <w:noWrap w:val="false"/>
          </w:tcPr>
          <w:p>
            <w:pPr>
              <w:jc w:val="left"/>
              <w:spacing w:line="240" w:lineRule="auto"/>
              <w:rPr>
                <w:rFonts w:hint="eastAsia" w:ascii="宋体" w:hAnsi="宋体" w:cs="宋体"/>
                <w:b/>
                <w:szCs w:val="21"/>
                <w:lang w:bidi="ar"/>
              </w:rPr>
            </w:pPr>
            <w:r>
              <w:rPr>
                <w:rFonts w:hint="eastAsia" w:ascii="宋体" w:hAnsi="宋体" w:cs="宋体"/>
                <w:b/>
                <w:szCs w:val="21"/>
                <w:lang w:bidi="ar"/>
              </w:rPr>
              <w:t xml:space="preserve">网</w:t>
            </w:r>
            <w:r>
              <w:rPr>
                <w:rFonts w:ascii="宋体" w:hAnsi="宋体" w:cs="宋体"/>
                <w:b/>
                <w:szCs w:val="21"/>
                <w:lang w:bidi="ar"/>
              </w:rPr>
              <w:t xml:space="preserve">络安全</w:t>
            </w:r>
            <w:r>
              <w:rPr>
                <w:rFonts w:hint="eastAsia" w:ascii="宋体" w:hAnsi="宋体" w:cs="宋体"/>
                <w:b/>
                <w:szCs w:val="21"/>
                <w:lang w:bidi="ar"/>
              </w:rPr>
              <w:t xml:space="preserve">技术</w:t>
            </w:r>
            <w:r>
              <w:rPr>
                <w:rFonts w:ascii="宋体" w:hAnsi="宋体" w:cs="宋体"/>
                <w:b/>
                <w:szCs w:val="21"/>
                <w:lang w:bidi="ar"/>
              </w:rPr>
              <w:t xml:space="preserve">服务</w:t>
            </w:r>
            <w:r/>
          </w:p>
        </w:tc>
      </w:tr>
      <w:tr>
        <w:trPr/>
        <w:tc>
          <w:tcPr>
            <w:tcW w:w="709"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1</w:t>
            </w:r>
            <w:r/>
          </w:p>
        </w:tc>
        <w:tc>
          <w:tcPr>
            <w:tcW w:w="7705" w:type="dxa"/>
            <w:textDirection w:val="lrTb"/>
            <w:noWrap w:val="false"/>
          </w:tcPr>
          <w:p>
            <w:pPr>
              <w:jc w:val="left"/>
              <w:spacing w:line="240" w:lineRule="auto"/>
              <w:rPr>
                <w:rFonts w:hint="eastAsia" w:ascii="宋体" w:hAnsi="宋体"/>
                <w:szCs w:val="21"/>
              </w:rPr>
            </w:pPr>
            <w:r>
              <w:rPr>
                <w:rFonts w:hint="eastAsia" w:ascii="宋体" w:hAnsi="宋体" w:cs="宋体"/>
                <w:szCs w:val="21"/>
                <w:lang w:bidi="ar"/>
              </w:rPr>
              <w:t xml:space="preserve">60台以上云主机虚拟</w:t>
            </w:r>
            <w:r>
              <w:rPr>
                <w:rFonts w:ascii="宋体" w:hAnsi="宋体" w:cs="宋体"/>
                <w:szCs w:val="21"/>
                <w:lang w:bidi="ar"/>
              </w:rPr>
              <w:t xml:space="preserve">服务器</w:t>
            </w:r>
            <w:r>
              <w:rPr>
                <w:rFonts w:hint="eastAsia" w:ascii="宋体" w:hAnsi="宋体" w:cs="宋体"/>
                <w:szCs w:val="21"/>
                <w:lang w:bidi="ar"/>
              </w:rPr>
              <w:t xml:space="preserve">系统软件运行维护</w:t>
            </w:r>
            <w:r/>
          </w:p>
        </w:tc>
      </w:tr>
      <w:tr>
        <w:trPr/>
        <w:tc>
          <w:tcPr>
            <w:tcW w:w="709"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2</w:t>
            </w:r>
            <w:r/>
          </w:p>
        </w:tc>
        <w:tc>
          <w:tcPr>
            <w:tcW w:w="7705" w:type="dxa"/>
            <w:textDirection w:val="lrTb"/>
            <w:noWrap w:val="false"/>
          </w:tcPr>
          <w:p>
            <w:pPr>
              <w:jc w:val="left"/>
              <w:spacing w:line="240" w:lineRule="auto"/>
              <w:rPr>
                <w:rFonts w:hint="eastAsia" w:ascii="宋体" w:hAnsi="宋体"/>
                <w:szCs w:val="21"/>
              </w:rPr>
            </w:pPr>
            <w:r>
              <w:rPr>
                <w:rFonts w:ascii="宋体" w:hAnsi="宋体" w:cs="宋体"/>
                <w:szCs w:val="21"/>
                <w:lang w:bidi="ar"/>
              </w:rPr>
              <w:t xml:space="preserve">信息系统</w:t>
            </w:r>
            <w:r>
              <w:rPr>
                <w:rFonts w:hint="eastAsia" w:ascii="宋体" w:hAnsi="宋体" w:cs="宋体"/>
                <w:szCs w:val="21"/>
                <w:lang w:bidi="ar"/>
              </w:rPr>
              <w:t xml:space="preserve">网</w:t>
            </w:r>
            <w:r>
              <w:rPr>
                <w:rFonts w:ascii="宋体" w:hAnsi="宋体" w:cs="宋体"/>
                <w:szCs w:val="21"/>
                <w:lang w:bidi="ar"/>
              </w:rPr>
              <w:t xml:space="preserve">络和信息</w:t>
            </w:r>
            <w:r>
              <w:rPr>
                <w:rFonts w:hint="eastAsia" w:ascii="宋体" w:hAnsi="宋体" w:cs="宋体"/>
                <w:szCs w:val="21"/>
                <w:lang w:bidi="ar"/>
              </w:rPr>
              <w:t xml:space="preserve">安全自</w:t>
            </w:r>
            <w:r>
              <w:rPr>
                <w:rFonts w:ascii="宋体" w:hAnsi="宋体" w:cs="宋体"/>
                <w:szCs w:val="21"/>
                <w:lang w:bidi="ar"/>
              </w:rPr>
              <w:t xml:space="preserve">查服务</w:t>
            </w:r>
            <w:r/>
          </w:p>
        </w:tc>
      </w:tr>
      <w:tr>
        <w:trPr/>
        <w:tc>
          <w:tcPr>
            <w:tcW w:w="709" w:type="dxa"/>
            <w:vAlign w:val="center"/>
            <w:textDirection w:val="lrTb"/>
            <w:noWrap w:val="false"/>
          </w:tcPr>
          <w:p>
            <w:pPr>
              <w:jc w:val="center"/>
              <w:spacing w:line="240" w:lineRule="auto"/>
              <w:rPr>
                <w:rFonts w:hint="eastAsia" w:ascii="宋体" w:hAnsi="宋体"/>
                <w:b/>
                <w:szCs w:val="21"/>
                <w:lang w:val="en"/>
              </w:rPr>
            </w:pPr>
            <w:r>
              <w:rPr>
                <w:rFonts w:hint="eastAsia" w:ascii="宋体" w:hAnsi="宋体"/>
                <w:b/>
                <w:szCs w:val="21"/>
                <w:lang w:val="en"/>
              </w:rPr>
              <w:t xml:space="preserve">四</w:t>
            </w:r>
            <w:r/>
          </w:p>
        </w:tc>
        <w:tc>
          <w:tcPr>
            <w:tcW w:w="7705" w:type="dxa"/>
            <w:textDirection w:val="lrTb"/>
            <w:noWrap w:val="false"/>
          </w:tcPr>
          <w:p>
            <w:pPr>
              <w:jc w:val="left"/>
              <w:spacing w:line="240" w:lineRule="auto"/>
              <w:rPr>
                <w:rFonts w:hint="eastAsia" w:ascii="宋体" w:hAnsi="宋体" w:cs="宋体"/>
                <w:b/>
                <w:szCs w:val="21"/>
                <w:lang w:bidi="ar"/>
              </w:rPr>
            </w:pPr>
            <w:r>
              <w:rPr>
                <w:rFonts w:hint="eastAsia" w:ascii="宋体" w:hAnsi="宋体" w:cs="宋体"/>
                <w:b/>
                <w:szCs w:val="21"/>
                <w:lang w:bidi="ar"/>
              </w:rPr>
              <w:t xml:space="preserve">网</w:t>
            </w:r>
            <w:r>
              <w:rPr>
                <w:rFonts w:ascii="宋体" w:hAnsi="宋体" w:cs="宋体"/>
                <w:b/>
                <w:szCs w:val="21"/>
                <w:lang w:bidi="ar"/>
              </w:rPr>
              <w:t xml:space="preserve">络线</w:t>
            </w:r>
            <w:r>
              <w:rPr>
                <w:rFonts w:hint="eastAsia" w:ascii="宋体" w:hAnsi="宋体" w:cs="宋体"/>
                <w:b/>
                <w:szCs w:val="21"/>
                <w:lang w:bidi="ar"/>
              </w:rPr>
              <w:t xml:space="preserve">路资源</w:t>
            </w:r>
            <w:r>
              <w:rPr>
                <w:rFonts w:ascii="宋体" w:hAnsi="宋体" w:cs="宋体"/>
                <w:b/>
                <w:szCs w:val="21"/>
                <w:lang w:bidi="ar"/>
              </w:rPr>
              <w:t xml:space="preserve">租用</w:t>
            </w:r>
            <w:r/>
          </w:p>
        </w:tc>
      </w:tr>
      <w:tr>
        <w:trPr/>
        <w:tc>
          <w:tcPr>
            <w:tcW w:w="709"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1</w:t>
            </w:r>
            <w:r/>
          </w:p>
        </w:tc>
        <w:tc>
          <w:tcPr>
            <w:tcW w:w="7705" w:type="dxa"/>
            <w:textDirection w:val="lrTb"/>
            <w:noWrap w:val="false"/>
          </w:tcPr>
          <w:p>
            <w:pPr>
              <w:jc w:val="left"/>
              <w:spacing w:line="240" w:lineRule="auto"/>
              <w:rPr>
                <w:rFonts w:hint="eastAsia" w:ascii="宋体" w:hAnsi="宋体"/>
                <w:szCs w:val="21"/>
                <w:lang w:val="zh-CN"/>
              </w:rPr>
            </w:pPr>
            <w:r>
              <w:rPr>
                <w:rFonts w:hint="eastAsia" w:ascii="宋体" w:hAnsi="宋体" w:cs="宋体"/>
                <w:szCs w:val="21"/>
                <w:lang w:bidi="ar"/>
              </w:rPr>
              <w:t xml:space="preserve">常州市应急管理综合行政执法监督局办公网络（100M电子政务外网接入）</w:t>
            </w:r>
            <w:r/>
          </w:p>
        </w:tc>
      </w:tr>
      <w:tr>
        <w:trPr/>
        <w:tc>
          <w:tcPr>
            <w:tcW w:w="709"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2</w:t>
            </w:r>
            <w:r/>
          </w:p>
        </w:tc>
        <w:tc>
          <w:tcPr>
            <w:tcW w:w="7705" w:type="dxa"/>
            <w:textDirection w:val="lrTb"/>
            <w:noWrap w:val="false"/>
          </w:tcPr>
          <w:p>
            <w:pPr>
              <w:jc w:val="left"/>
              <w:spacing w:line="240" w:lineRule="auto"/>
              <w:rPr>
                <w:rFonts w:hint="eastAsia" w:ascii="宋体" w:hAnsi="宋体"/>
                <w:szCs w:val="21"/>
                <w:lang w:val="zh-CN"/>
              </w:rPr>
            </w:pPr>
            <w:r>
              <w:rPr>
                <w:rFonts w:hint="eastAsia" w:ascii="宋体" w:hAnsi="宋体" w:cs="宋体"/>
                <w:szCs w:val="21"/>
                <w:lang w:bidi="ar"/>
              </w:rPr>
              <w:t xml:space="preserve">常州市应急管理综合行政执法监督局办公网络（100M互联网接入）</w:t>
            </w:r>
            <w:r/>
          </w:p>
        </w:tc>
      </w:tr>
      <w:tr>
        <w:trPr/>
        <w:tc>
          <w:tcPr>
            <w:tcW w:w="70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3</w:t>
            </w:r>
            <w:r/>
          </w:p>
        </w:tc>
        <w:tc>
          <w:tcPr>
            <w:tcW w:w="7705" w:type="dxa"/>
            <w:textDirection w:val="lrTb"/>
            <w:noWrap w:val="false"/>
          </w:tcPr>
          <w:p>
            <w:pPr>
              <w:jc w:val="left"/>
              <w:spacing w:line="240" w:lineRule="auto"/>
              <w:rPr>
                <w:rFonts w:hint="eastAsia" w:ascii="宋体" w:hAnsi="宋体"/>
                <w:szCs w:val="21"/>
              </w:rPr>
            </w:pPr>
            <w:r>
              <w:rPr>
                <w:rFonts w:hint="eastAsia" w:ascii="宋体" w:hAnsi="宋体" w:cs="宋体"/>
                <w:szCs w:val="21"/>
                <w:lang w:bidi="ar"/>
              </w:rPr>
              <w:t xml:space="preserve">常州市应急视频云平台与局指挥中心视频轮巡线路（100M数字电路）</w:t>
            </w:r>
            <w:r/>
          </w:p>
        </w:tc>
      </w:tr>
      <w:tr>
        <w:trPr/>
        <w:tc>
          <w:tcPr>
            <w:tcW w:w="70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4</w:t>
            </w:r>
            <w:r/>
          </w:p>
        </w:tc>
        <w:tc>
          <w:tcPr>
            <w:tcW w:w="7705" w:type="dxa"/>
            <w:textDirection w:val="lrTb"/>
            <w:noWrap w:val="false"/>
          </w:tcPr>
          <w:p>
            <w:pPr>
              <w:jc w:val="left"/>
              <w:spacing w:line="240" w:lineRule="auto"/>
              <w:rPr>
                <w:rFonts w:hint="eastAsia" w:ascii="宋体" w:hAnsi="宋体" w:cs="宋体"/>
                <w:szCs w:val="21"/>
                <w:lang w:bidi="ar"/>
              </w:rPr>
            </w:pPr>
            <w:r>
              <w:rPr>
                <w:rFonts w:hint="eastAsia" w:ascii="宋体" w:hAnsi="宋体" w:cs="宋体"/>
                <w:szCs w:val="21"/>
                <w:lang w:bidi="ar"/>
              </w:rPr>
              <w:t xml:space="preserve">常州市应急视频云平台与新北区应急视频云台对接线路（100M数字电路）</w:t>
            </w:r>
            <w:r/>
          </w:p>
        </w:tc>
      </w:tr>
      <w:tr>
        <w:trPr/>
        <w:tc>
          <w:tcPr>
            <w:tcW w:w="709" w:type="dxa"/>
            <w:vAlign w:val="center"/>
            <w:textDirection w:val="lrTb"/>
            <w:noWrap w:val="false"/>
          </w:tcPr>
          <w:p>
            <w:pPr>
              <w:jc w:val="center"/>
              <w:spacing w:line="240" w:lineRule="auto"/>
              <w:rPr>
                <w:rFonts w:hint="eastAsia" w:ascii="宋体" w:hAnsi="宋体"/>
                <w:szCs w:val="21"/>
                <w:lang w:val="en"/>
              </w:rPr>
            </w:pPr>
            <w:r>
              <w:rPr>
                <w:rFonts w:hint="eastAsia" w:ascii="宋体" w:hAnsi="宋体"/>
                <w:szCs w:val="21"/>
              </w:rPr>
              <w:t xml:space="preserve">5</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常州市应急视频云平台公网出口线路（500M互联网接入）</w:t>
            </w:r>
            <w:r/>
          </w:p>
        </w:tc>
      </w:tr>
      <w:tr>
        <w:trPr/>
        <w:tc>
          <w:tcPr>
            <w:tcW w:w="70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6</w:t>
            </w:r>
            <w:r/>
          </w:p>
        </w:tc>
        <w:tc>
          <w:tcPr>
            <w:tcW w:w="7705" w:type="dxa"/>
            <w:textDirection w:val="lrTb"/>
            <w:noWrap w:val="false"/>
          </w:tcPr>
          <w:p>
            <w:pPr>
              <w:jc w:val="left"/>
              <w:spacing w:line="240" w:lineRule="auto"/>
              <w:rPr>
                <w:rFonts w:hint="eastAsia" w:ascii="宋体" w:hAnsi="宋体" w:cs="宋体"/>
                <w:szCs w:val="21"/>
                <w:lang w:val="en" w:bidi="ar"/>
              </w:rPr>
            </w:pPr>
            <w:r>
              <w:rPr>
                <w:rFonts w:hint="eastAsia" w:ascii="宋体" w:hAnsi="宋体" w:cs="宋体"/>
                <w:szCs w:val="21"/>
                <w:lang w:val="en" w:bidi="ar"/>
              </w:rPr>
              <w:t xml:space="preserve">常州市应急视频云平台与“一网统管”视频云平台对接线路（100M电子政务外网）</w:t>
            </w:r>
            <w:r/>
          </w:p>
        </w:tc>
      </w:tr>
    </w:tbl>
    <w:p>
      <w:pPr>
        <w:ind w:firstLine="482"/>
        <w:spacing w:line="240" w:lineRule="auto"/>
        <w:rPr>
          <w:rFonts w:hint="eastAsia" w:ascii="宋体" w:hAnsi="宋体" w:cs="宋体"/>
          <w:b/>
          <w:sz w:val="24"/>
          <w:lang w:bidi="ar"/>
        </w:rPr>
      </w:pPr>
      <w:r>
        <w:rPr>
          <w:rFonts w:hint="eastAsia" w:ascii="宋体" w:hAnsi="宋体" w:cs="宋体"/>
          <w:b/>
          <w:sz w:val="24"/>
          <w:lang w:bidi="ar"/>
        </w:rPr>
        <w:t xml:space="preserve">2.3  服务要求</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3.1</w:t>
      </w:r>
      <w:r>
        <w:rPr>
          <w:rFonts w:ascii="宋体" w:hAnsi="宋体" w:cs="宋体"/>
          <w:b/>
          <w:sz w:val="24"/>
          <w:lang w:bidi="ar"/>
        </w:rPr>
        <w:t xml:space="preserve"> </w:t>
      </w:r>
      <w:r>
        <w:rPr>
          <w:rFonts w:hint="eastAsia" w:ascii="宋体" w:hAnsi="宋体" w:cs="宋体"/>
          <w:b/>
          <w:sz w:val="24"/>
          <w:lang w:bidi="ar"/>
        </w:rPr>
        <w:t xml:space="preserve"> 软</w:t>
      </w:r>
      <w:r>
        <w:rPr>
          <w:rFonts w:ascii="宋体" w:hAnsi="宋体" w:cs="宋体"/>
          <w:b/>
          <w:sz w:val="24"/>
          <w:lang w:bidi="ar"/>
        </w:rPr>
        <w:t xml:space="preserve">件系统</w:t>
      </w:r>
      <w:r>
        <w:rPr>
          <w:rFonts w:hint="eastAsia" w:ascii="宋体" w:hAnsi="宋体" w:cs="宋体"/>
          <w:b/>
          <w:sz w:val="24"/>
          <w:lang w:bidi="ar"/>
        </w:rPr>
        <w:t xml:space="preserve">运</w:t>
      </w:r>
      <w:r>
        <w:rPr>
          <w:rFonts w:ascii="宋体" w:hAnsi="宋体" w:cs="宋体"/>
          <w:b/>
          <w:sz w:val="24"/>
          <w:lang w:bidi="ar"/>
        </w:rPr>
        <w:t xml:space="preserve">维</w:t>
      </w:r>
      <w:r>
        <w:rPr>
          <w:rFonts w:hint="eastAsia" w:ascii="宋体" w:hAnsi="宋体" w:cs="宋体"/>
          <w:b/>
          <w:sz w:val="24"/>
          <w:lang w:bidi="ar"/>
        </w:rPr>
        <w:t xml:space="preserve">管理</w:t>
      </w:r>
      <w:r/>
    </w:p>
    <w:p>
      <w:pPr>
        <w:ind w:firstLine="241"/>
        <w:spacing w:line="240" w:lineRule="auto"/>
        <w:rPr>
          <w:rFonts w:hint="eastAsia" w:ascii="宋体" w:hAnsi="宋体" w:cs="宋体"/>
          <w:b/>
          <w:sz w:val="24"/>
          <w:lang w:bidi="ar"/>
        </w:rPr>
      </w:pPr>
      <w:r>
        <w:rPr>
          <w:rFonts w:hint="eastAsia" w:ascii="宋体" w:hAnsi="宋体" w:cs="宋体"/>
          <w:b/>
          <w:sz w:val="24"/>
          <w:lang w:bidi="ar"/>
        </w:rPr>
        <w:t xml:space="preserve"> </w:t>
      </w:r>
      <w:r>
        <w:rPr>
          <w:rFonts w:ascii="宋体" w:hAnsi="宋体" w:cs="宋体"/>
          <w:b/>
          <w:sz w:val="24"/>
          <w:lang w:bidi="ar"/>
        </w:rPr>
        <w:t xml:space="preserve"> </w:t>
      </w:r>
      <w:r>
        <w:rPr>
          <w:rFonts w:hint="eastAsia" w:ascii="宋体" w:hAnsi="宋体" w:cs="宋体"/>
          <w:sz w:val="24"/>
          <w:lang w:bidi="ar"/>
        </w:rPr>
        <w:t xml:space="preserve">中标供应商应安排信息</w:t>
      </w:r>
      <w:r>
        <w:rPr>
          <w:rFonts w:ascii="宋体" w:hAnsi="宋体" w:cs="宋体"/>
          <w:sz w:val="24"/>
          <w:lang w:bidi="ar"/>
        </w:rPr>
        <w:t xml:space="preserve">化专业</w:t>
      </w:r>
      <w:r>
        <w:rPr>
          <w:rFonts w:hint="eastAsia" w:ascii="宋体" w:hAnsi="宋体" w:cs="宋体"/>
          <w:sz w:val="24"/>
          <w:lang w:bidi="ar"/>
        </w:rPr>
        <w:t xml:space="preserve">人员协</w:t>
      </w:r>
      <w:r>
        <w:rPr>
          <w:rFonts w:ascii="宋体" w:hAnsi="宋体" w:cs="宋体"/>
          <w:sz w:val="24"/>
          <w:lang w:bidi="ar"/>
        </w:rPr>
        <w:t xml:space="preserve">助市应急管理局</w:t>
      </w:r>
      <w:r>
        <w:rPr>
          <w:rFonts w:hint="eastAsia" w:ascii="宋体" w:hAnsi="宋体" w:cs="宋体"/>
          <w:sz w:val="24"/>
          <w:lang w:bidi="ar"/>
        </w:rPr>
        <w:t xml:space="preserve">推进</w:t>
      </w:r>
      <w:r>
        <w:rPr>
          <w:rFonts w:ascii="宋体" w:hAnsi="宋体" w:cs="宋体"/>
          <w:sz w:val="24"/>
          <w:lang w:bidi="ar"/>
        </w:rPr>
        <w:t xml:space="preserve">信息化项目建设和系统应用。</w:t>
      </w:r>
      <w:r/>
    </w:p>
    <w:p>
      <w:pPr>
        <w:ind w:firstLine="482"/>
        <w:jc w:val="left"/>
        <w:spacing w:line="240" w:lineRule="auto"/>
        <w:rPr>
          <w:rFonts w:hint="eastAsia" w:ascii="宋体" w:hAnsi="宋体" w:cs="宋体"/>
          <w:b/>
          <w:sz w:val="24"/>
          <w:lang w:bidi="ar"/>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3</w:t>
      </w:r>
      <w:r>
        <w:rPr>
          <w:rFonts w:ascii="宋体" w:hAnsi="宋体" w:cs="宋体"/>
          <w:b/>
          <w:sz w:val="24"/>
          <w:lang w:bidi="ar"/>
        </w:rPr>
        <w:t xml:space="preserve">.</w:t>
      </w:r>
      <w:r>
        <w:rPr>
          <w:rFonts w:hint="eastAsia" w:ascii="宋体" w:hAnsi="宋体" w:cs="宋体"/>
          <w:b/>
          <w:sz w:val="24"/>
          <w:lang w:bidi="ar"/>
        </w:rPr>
        <w:t xml:space="preserve">1.1  常</w:t>
      </w:r>
      <w:r>
        <w:rPr>
          <w:rFonts w:ascii="宋体" w:hAnsi="宋体" w:cs="宋体"/>
          <w:b/>
          <w:sz w:val="24"/>
          <w:lang w:bidi="ar"/>
        </w:rPr>
        <w:t xml:space="preserve">州市</w:t>
      </w:r>
      <w:r>
        <w:rPr>
          <w:rFonts w:hint="eastAsia" w:ascii="宋体" w:hAnsi="宋体" w:cs="宋体"/>
          <w:b/>
          <w:sz w:val="24"/>
          <w:lang w:bidi="ar"/>
        </w:rPr>
        <w:t xml:space="preserve">危险化学品安全生产风险监测预警系统运维管理。</w:t>
      </w:r>
      <w:r/>
    </w:p>
    <w:p>
      <w:pPr>
        <w:ind w:firstLine="482"/>
        <w:jc w:val="left"/>
        <w:spacing w:line="240" w:lineRule="auto"/>
        <w:widowControl/>
        <w:rPr>
          <w:rFonts w:hint="eastAsia" w:ascii="宋体" w:hAnsi="宋体" w:cs="宋体"/>
          <w:b/>
          <w:sz w:val="24"/>
          <w:lang w:bidi="ar"/>
        </w:rPr>
      </w:pPr>
      <w:r>
        <w:rPr>
          <w:rFonts w:hint="eastAsia" w:ascii="宋体" w:hAnsi="宋体" w:cs="宋体"/>
          <w:b/>
          <w:sz w:val="24"/>
          <w:lang w:bidi="ar"/>
        </w:rPr>
        <w:t xml:space="preserve">工作内容</w:t>
      </w:r>
      <w:r>
        <w:rPr>
          <w:rFonts w:ascii="宋体" w:hAnsi="宋体" w:cs="宋体"/>
          <w:b/>
          <w:sz w:val="24"/>
          <w:lang w:bidi="ar"/>
        </w:rPr>
        <w:t xml:space="preserve">：</w:t>
      </w:r>
      <w:r>
        <w:rPr>
          <w:rFonts w:hint="eastAsia" w:ascii="宋体" w:hAnsi="宋体" w:cs="宋体"/>
          <w:sz w:val="24"/>
          <w:lang w:bidi="ar"/>
        </w:rPr>
        <w:t xml:space="preserve">负责常州市危险</w:t>
      </w:r>
      <w:r>
        <w:rPr>
          <w:rFonts w:ascii="宋体" w:hAnsi="宋体" w:cs="宋体"/>
          <w:sz w:val="24"/>
          <w:lang w:bidi="ar"/>
        </w:rPr>
        <w:t xml:space="preserve">化学品</w:t>
      </w:r>
      <w:r>
        <w:rPr>
          <w:rFonts w:hint="eastAsia" w:ascii="宋体" w:hAnsi="宋体" w:cs="宋体"/>
          <w:sz w:val="24"/>
          <w:lang w:bidi="ar"/>
        </w:rPr>
        <w:t xml:space="preserve">安全</w:t>
      </w:r>
      <w:r>
        <w:rPr>
          <w:rFonts w:ascii="宋体" w:hAnsi="宋体" w:cs="宋体"/>
          <w:sz w:val="24"/>
          <w:lang w:bidi="ar"/>
        </w:rPr>
        <w:t xml:space="preserve">生产风险监测预警系统</w:t>
      </w:r>
      <w:r>
        <w:rPr>
          <w:rFonts w:hint="eastAsia" w:ascii="宋体" w:hAnsi="宋体" w:cs="宋体"/>
          <w:sz w:val="24"/>
          <w:lang w:bidi="ar"/>
        </w:rPr>
        <w:t xml:space="preserve">运行</w:t>
      </w:r>
      <w:r>
        <w:rPr>
          <w:rFonts w:ascii="宋体" w:hAnsi="宋体" w:cs="宋体"/>
          <w:sz w:val="24"/>
          <w:lang w:bidi="ar"/>
        </w:rPr>
        <w:t xml:space="preserve">维护</w:t>
      </w:r>
      <w:r>
        <w:rPr>
          <w:rFonts w:hint="eastAsia" w:ascii="宋体" w:hAnsi="宋体" w:cs="宋体"/>
          <w:sz w:val="24"/>
          <w:lang w:bidi="ar"/>
        </w:rPr>
        <w:t xml:space="preserve">，保障常州市危险化学品安全生产风险监测预警系统正常、稳定运行。</w:t>
      </w:r>
      <w:r/>
    </w:p>
    <w:p>
      <w:pPr>
        <w:ind w:firstLine="482"/>
        <w:jc w:val="left"/>
        <w:spacing w:line="240" w:lineRule="auto"/>
        <w:rPr>
          <w:rFonts w:hint="eastAsia" w:ascii="宋体" w:hAnsi="宋体" w:cs="宋体"/>
          <w:b/>
          <w:sz w:val="24"/>
          <w:lang w:bidi="ar"/>
        </w:rPr>
      </w:pPr>
      <w:r>
        <w:rPr>
          <w:rFonts w:hint="eastAsia" w:ascii="宋体" w:hAnsi="宋体" w:cs="宋体"/>
          <w:b/>
          <w:sz w:val="24"/>
          <w:lang w:bidi="ar"/>
        </w:rPr>
        <w:t xml:space="preserve">工作</w:t>
      </w:r>
      <w:r>
        <w:rPr>
          <w:rFonts w:ascii="宋体" w:hAnsi="宋体" w:cs="宋体"/>
          <w:b/>
          <w:sz w:val="24"/>
          <w:lang w:bidi="ar"/>
        </w:rPr>
        <w:t xml:space="preserve">要求：</w:t>
      </w:r>
      <w:r/>
    </w:p>
    <w:p>
      <w:pPr>
        <w:ind w:firstLine="482"/>
        <w:jc w:val="left"/>
        <w:spacing w:line="240" w:lineRule="auto"/>
        <w:rPr>
          <w:rFonts w:hint="eastAsia" w:ascii="宋体" w:hAnsi="宋体" w:cs="宋体"/>
          <w:sz w:val="24"/>
          <w:lang w:bidi="ar"/>
        </w:rPr>
      </w:pPr>
      <w:r>
        <w:rPr>
          <w:rFonts w:hint="eastAsia" w:ascii="宋体" w:hAnsi="宋体" w:cs="宋体"/>
          <w:b/>
          <w:sz w:val="24"/>
          <w:lang w:bidi="ar"/>
        </w:rPr>
        <w:t xml:space="preserve">1.</w:t>
      </w:r>
      <w:r>
        <w:rPr>
          <w:rFonts w:hint="eastAsia" w:ascii="宋体" w:hAnsi="宋体" w:cs="宋体"/>
          <w:b/>
          <w:bCs/>
          <w:sz w:val="24"/>
          <w:lang w:bidi="ar"/>
        </w:rPr>
        <w:t xml:space="preserve">远程巡检服务、沟通联络服务。</w:t>
      </w:r>
      <w:r>
        <w:rPr>
          <w:rFonts w:hint="eastAsia" w:ascii="宋体" w:hAnsi="宋体" w:cs="宋体"/>
          <w:sz w:val="24"/>
          <w:lang w:bidi="ar"/>
        </w:rPr>
        <w:t xml:space="preserve">根据</w:t>
      </w:r>
      <w:r>
        <w:rPr>
          <w:rFonts w:ascii="宋体" w:hAnsi="宋体" w:cs="宋体"/>
          <w:sz w:val="24"/>
          <w:lang w:bidi="ar"/>
        </w:rPr>
        <w:t xml:space="preserve">企业视频、传</w:t>
      </w:r>
      <w:r>
        <w:rPr>
          <w:rFonts w:hint="eastAsia" w:ascii="宋体" w:hAnsi="宋体" w:cs="宋体"/>
          <w:sz w:val="24"/>
          <w:lang w:bidi="ar"/>
        </w:rPr>
        <w:t xml:space="preserve">感</w:t>
      </w:r>
      <w:r>
        <w:rPr>
          <w:rFonts w:ascii="宋体" w:hAnsi="宋体" w:cs="宋体"/>
          <w:sz w:val="24"/>
          <w:lang w:bidi="ar"/>
        </w:rPr>
        <w:t xml:space="preserve">器离线</w:t>
      </w:r>
      <w:r>
        <w:rPr>
          <w:rFonts w:hint="eastAsia" w:ascii="宋体" w:hAnsi="宋体" w:cs="宋体"/>
          <w:sz w:val="24"/>
          <w:lang w:bidi="ar"/>
        </w:rPr>
        <w:t xml:space="preserve">等情况，为各用户提供技术服务，共同解决系统使用过程中出现的问题。如有需要，派驻技术专家到企业现场指导。</w:t>
      </w:r>
      <w:r/>
    </w:p>
    <w:p>
      <w:pPr>
        <w:ind w:firstLine="482"/>
        <w:jc w:val="left"/>
        <w:spacing w:line="240" w:lineRule="auto"/>
        <w:rPr>
          <w:rFonts w:hint="eastAsia" w:ascii="宋体" w:hAnsi="宋体" w:cs="宋体"/>
          <w:sz w:val="24"/>
          <w:lang w:bidi="ar"/>
        </w:rPr>
      </w:pPr>
      <w:r>
        <w:rPr>
          <w:rFonts w:hint="eastAsia" w:ascii="宋体" w:hAnsi="宋体" w:cs="宋体"/>
          <w:b/>
          <w:sz w:val="24"/>
          <w:lang w:bidi="ar"/>
        </w:rPr>
        <w:t xml:space="preserve">2.系统培训服务。</w:t>
      </w:r>
      <w:r>
        <w:rPr>
          <w:rFonts w:hint="eastAsia" w:ascii="宋体" w:hAnsi="宋体" w:cs="宋体"/>
          <w:sz w:val="24"/>
          <w:lang w:bidi="ar"/>
        </w:rPr>
        <w:t xml:space="preserve">为用户提供使用帮助和培训指导。</w:t>
      </w:r>
      <w:r/>
    </w:p>
    <w:p>
      <w:pPr>
        <w:ind w:firstLine="482"/>
        <w:jc w:val="left"/>
        <w:spacing w:line="240" w:lineRule="auto"/>
        <w:rPr>
          <w:rFonts w:hint="eastAsia" w:ascii="宋体" w:hAnsi="宋体" w:cs="宋体"/>
          <w:sz w:val="24"/>
          <w:lang w:bidi="ar"/>
        </w:rPr>
      </w:pPr>
      <w:r>
        <w:rPr>
          <w:rFonts w:hint="eastAsia" w:ascii="宋体" w:hAnsi="宋体" w:cs="宋体"/>
          <w:b/>
          <w:sz w:val="24"/>
          <w:lang w:bidi="ar"/>
        </w:rPr>
        <w:t xml:space="preserve">3.已接入数据调整。</w:t>
      </w:r>
      <w:r>
        <w:rPr>
          <w:rFonts w:hint="eastAsia" w:ascii="宋体" w:hAnsi="宋体" w:cs="宋体"/>
          <w:sz w:val="24"/>
          <w:lang w:bidi="ar"/>
        </w:rPr>
        <w:t xml:space="preserve">根据省厅发布的问题数据情况，检查数据，督促企业核对数据，指导企业排查问题数据，必要时进行数据调整。</w:t>
      </w:r>
      <w:r/>
    </w:p>
    <w:p>
      <w:pPr>
        <w:ind w:firstLine="482"/>
        <w:jc w:val="left"/>
        <w:spacing w:before="120" w:line="240" w:lineRule="auto"/>
        <w:rPr>
          <w:rFonts w:hint="eastAsia" w:ascii="宋体" w:hAnsi="宋体" w:cs="宋体"/>
          <w:b/>
          <w:sz w:val="24"/>
          <w:lang w:bidi="ar"/>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3</w:t>
      </w:r>
      <w:r>
        <w:rPr>
          <w:rFonts w:ascii="宋体" w:hAnsi="宋体" w:cs="宋体"/>
          <w:b/>
          <w:sz w:val="24"/>
          <w:lang w:bidi="ar"/>
        </w:rPr>
        <w:t xml:space="preserve">.</w:t>
      </w:r>
      <w:r>
        <w:rPr>
          <w:rFonts w:hint="eastAsia" w:ascii="宋体" w:hAnsi="宋体" w:cs="宋体"/>
          <w:b/>
          <w:sz w:val="24"/>
          <w:lang w:bidi="ar"/>
        </w:rPr>
        <w:t xml:space="preserve">1.2江苏省安全生产行政执法系统（</w:t>
      </w:r>
      <w:r>
        <w:rPr>
          <w:rFonts w:ascii="宋体" w:hAnsi="宋体" w:cs="宋体"/>
          <w:b/>
          <w:sz w:val="24"/>
          <w:lang w:bidi="ar"/>
        </w:rPr>
        <w:t xml:space="preserve">常州</w:t>
      </w:r>
      <w:r>
        <w:rPr>
          <w:rFonts w:hint="eastAsia" w:ascii="宋体" w:hAnsi="宋体" w:cs="宋体"/>
          <w:b/>
          <w:sz w:val="24"/>
          <w:lang w:bidi="ar"/>
        </w:rPr>
        <w:t xml:space="preserve">）运维</w:t>
      </w:r>
      <w:r>
        <w:rPr>
          <w:rFonts w:ascii="宋体" w:hAnsi="宋体" w:cs="宋体"/>
          <w:b/>
          <w:sz w:val="24"/>
          <w:lang w:bidi="ar"/>
        </w:rPr>
        <w:t xml:space="preserve">管理</w:t>
      </w:r>
      <w:r>
        <w:rPr>
          <w:rFonts w:hint="eastAsia" w:ascii="宋体" w:hAnsi="宋体" w:cs="宋体"/>
          <w:b/>
          <w:sz w:val="24"/>
          <w:lang w:bidi="ar"/>
        </w:rPr>
        <w:t xml:space="preserve">。</w:t>
      </w:r>
      <w:r/>
    </w:p>
    <w:p>
      <w:pPr>
        <w:ind w:firstLine="480"/>
        <w:spacing w:line="240" w:lineRule="auto"/>
        <w:rPr>
          <w:rFonts w:hint="eastAsia" w:ascii="宋体" w:hAnsi="宋体" w:cs="宋体"/>
          <w:color w:val="ff0000"/>
          <w:sz w:val="24"/>
          <w:lang w:bidi="ar"/>
        </w:rPr>
      </w:pPr>
      <w:r>
        <w:rPr>
          <w:rFonts w:hint="eastAsia" w:ascii="宋体" w:hAnsi="宋体" w:cs="宋体"/>
          <w:sz w:val="24"/>
          <w:lang w:bidi="ar"/>
        </w:rPr>
        <w:t xml:space="preserve">工作内容：负责系统维护工作，为系统使用用户提供售后技术咨询、支持服务，执行现场、远程等系统使用培训工作、版本迭代和省级系统数据对接共享。</w:t>
      </w:r>
      <w:r/>
    </w:p>
    <w:p>
      <w:pPr>
        <w:ind w:firstLine="482"/>
        <w:spacing w:line="240" w:lineRule="auto"/>
        <w:rPr>
          <w:rFonts w:hint="eastAsia" w:ascii="宋体" w:hAnsi="宋体" w:cs="宋体"/>
          <w:b/>
          <w:sz w:val="24"/>
          <w:lang w:val="en" w:bidi="ar"/>
        </w:rPr>
      </w:pPr>
      <w:r>
        <w:rPr>
          <w:rFonts w:hint="eastAsia" w:ascii="宋体" w:hAnsi="宋体" w:cs="宋体"/>
          <w:b/>
          <w:sz w:val="24"/>
          <w:lang w:val="en" w:bidi="ar"/>
        </w:rPr>
        <w:t xml:space="preserve">工作要求：</w:t>
      </w:r>
      <w:r/>
    </w:p>
    <w:p>
      <w:pPr>
        <w:ind w:firstLine="482"/>
        <w:spacing w:line="240" w:lineRule="auto"/>
        <w:rPr>
          <w:rFonts w:hint="eastAsia" w:ascii="宋体" w:hAnsi="宋体" w:cs="宋体"/>
          <w:sz w:val="24"/>
          <w:lang w:bidi="ar"/>
        </w:rPr>
      </w:pPr>
      <w:r>
        <w:rPr>
          <w:rFonts w:hint="eastAsia" w:ascii="宋体" w:hAnsi="宋体" w:cs="宋体"/>
          <w:b/>
          <w:sz w:val="24"/>
          <w:lang w:bidi="ar"/>
        </w:rPr>
        <w:t xml:space="preserve">1</w:t>
      </w:r>
      <w:r>
        <w:rPr>
          <w:rFonts w:hint="eastAsia" w:ascii="宋体" w:hAnsi="宋体" w:cs="宋体"/>
          <w:b/>
          <w:sz w:val="24"/>
          <w:lang w:val="en" w:bidi="ar"/>
        </w:rPr>
        <w:t xml:space="preserve">.技术服务。</w:t>
      </w:r>
      <w:r>
        <w:rPr>
          <w:rFonts w:hint="eastAsia" w:ascii="宋体" w:hAnsi="宋体" w:cs="宋体"/>
          <w:sz w:val="24"/>
          <w:lang w:bidi="ar"/>
        </w:rPr>
        <w:t xml:space="preserve">为系统用户提供技术咨询、支撑服务，及时解答、解决系统用户提出的技术问题。</w:t>
      </w:r>
      <w:r/>
    </w:p>
    <w:p>
      <w:pPr>
        <w:ind w:firstLine="482"/>
        <w:spacing w:line="240" w:lineRule="auto"/>
        <w:rPr>
          <w:rFonts w:hint="eastAsia" w:ascii="宋体" w:hAnsi="宋体" w:cs="宋体"/>
          <w:sz w:val="24"/>
          <w:lang w:bidi="ar"/>
        </w:rPr>
      </w:pPr>
      <w:r>
        <w:rPr>
          <w:rFonts w:hint="eastAsia" w:ascii="宋体" w:hAnsi="宋体" w:cs="宋体"/>
          <w:b/>
          <w:sz w:val="24"/>
          <w:lang w:bidi="ar"/>
        </w:rPr>
        <w:t xml:space="preserve">2</w:t>
      </w:r>
      <w:r>
        <w:rPr>
          <w:rFonts w:hint="eastAsia" w:ascii="宋体" w:hAnsi="宋体" w:cs="宋体"/>
          <w:b/>
          <w:sz w:val="24"/>
          <w:lang w:val="en" w:bidi="ar"/>
        </w:rPr>
        <w:t xml:space="preserve">.使用培训。</w:t>
      </w:r>
      <w:r>
        <w:rPr>
          <w:rFonts w:hint="eastAsia" w:ascii="宋体" w:hAnsi="宋体" w:cs="宋体"/>
          <w:sz w:val="24"/>
          <w:lang w:bidi="ar"/>
        </w:rPr>
        <w:t xml:space="preserve">根据系统使用需要，为用户提供现场、远程等系统使用培训工作。</w:t>
      </w:r>
      <w:r/>
    </w:p>
    <w:p>
      <w:pPr>
        <w:ind w:firstLine="482"/>
        <w:spacing w:line="240" w:lineRule="auto"/>
        <w:rPr>
          <w:rFonts w:hint="eastAsia" w:ascii="宋体" w:hAnsi="宋体" w:cs="宋体"/>
          <w:sz w:val="24"/>
          <w:lang w:bidi="ar"/>
        </w:rPr>
      </w:pPr>
      <w:r>
        <w:rPr>
          <w:rFonts w:hint="eastAsia" w:ascii="宋体" w:hAnsi="宋体" w:cs="宋体"/>
          <w:b/>
          <w:sz w:val="24"/>
          <w:lang w:bidi="ar"/>
        </w:rPr>
        <w:t xml:space="preserve">3</w:t>
      </w:r>
      <w:r>
        <w:rPr>
          <w:rFonts w:hint="eastAsia" w:ascii="宋体" w:hAnsi="宋体" w:cs="宋体"/>
          <w:b/>
          <w:sz w:val="24"/>
          <w:lang w:val="en" w:bidi="ar"/>
        </w:rPr>
        <w:t xml:space="preserve">.版本迭代。</w:t>
      </w:r>
      <w:r>
        <w:rPr>
          <w:rFonts w:hint="eastAsia" w:ascii="宋体" w:hAnsi="宋体" w:cs="宋体"/>
          <w:sz w:val="24"/>
          <w:lang w:bidi="ar"/>
        </w:rPr>
        <w:t xml:space="preserve">根据实际情况对系统进行迭代优化或制定迭代优化方案，包括调整系统参数、优化性能、升级软硬件设施等，以保持系统运行效率和稳定性。</w:t>
      </w:r>
      <w:r/>
    </w:p>
    <w:p>
      <w:pPr>
        <w:ind w:firstLine="482"/>
        <w:spacing w:line="240" w:lineRule="auto"/>
        <w:rPr>
          <w:rFonts w:hint="eastAsia" w:ascii="宋体" w:hAnsi="宋体" w:cs="宋体"/>
          <w:sz w:val="24"/>
          <w:lang w:bidi="ar"/>
        </w:rPr>
      </w:pPr>
      <w:r>
        <w:rPr>
          <w:rFonts w:hint="eastAsia" w:ascii="宋体" w:hAnsi="宋体" w:cs="宋体"/>
          <w:b/>
          <w:sz w:val="24"/>
          <w:lang w:bidi="ar"/>
        </w:rPr>
        <w:t xml:space="preserve">4</w:t>
      </w:r>
      <w:r>
        <w:rPr>
          <w:rFonts w:hint="eastAsia" w:ascii="宋体" w:hAnsi="宋体" w:cs="宋体"/>
          <w:b/>
          <w:sz w:val="24"/>
          <w:lang w:val="en" w:bidi="ar"/>
        </w:rPr>
        <w:t xml:space="preserve">.数据监测。</w:t>
      </w:r>
      <w:r>
        <w:rPr>
          <w:rFonts w:hint="eastAsia" w:ascii="宋体" w:hAnsi="宋体" w:cs="宋体"/>
          <w:sz w:val="24"/>
          <w:lang w:bidi="ar"/>
        </w:rPr>
        <w:t xml:space="preserve">优化、监测与省安全生产行政执法系统、常州市应急管理信息系统数据交换和共享，保障数据对接、交换和共享的及时、稳定、准确。</w:t>
      </w:r>
      <w:r/>
    </w:p>
    <w:p>
      <w:pPr>
        <w:ind w:firstLine="482"/>
        <w:jc w:val="left"/>
        <w:spacing w:before="120" w:line="240" w:lineRule="auto"/>
        <w:rPr>
          <w:rFonts w:hint="eastAsia" w:ascii="宋体" w:hAnsi="宋体" w:cs="宋体"/>
          <w:b/>
          <w:sz w:val="24"/>
          <w:lang w:val="en" w:bidi="ar"/>
        </w:rPr>
      </w:pPr>
      <w:r>
        <w:rPr>
          <w:rFonts w:hint="eastAsia" w:ascii="宋体" w:hAnsi="宋体" w:cs="宋体"/>
          <w:b/>
          <w:sz w:val="24"/>
          <w:lang w:bidi="ar"/>
        </w:rPr>
        <w:t xml:space="preserve">2</w:t>
      </w:r>
      <w:r>
        <w:rPr>
          <w:rFonts w:hint="eastAsia" w:ascii="宋体" w:hAnsi="宋体" w:cs="宋体"/>
          <w:b/>
          <w:sz w:val="24"/>
          <w:lang w:val="en" w:bidi="ar"/>
        </w:rPr>
        <w:t xml:space="preserve">.</w:t>
      </w:r>
      <w:r>
        <w:rPr>
          <w:rFonts w:hint="eastAsia" w:ascii="宋体" w:hAnsi="宋体" w:cs="宋体"/>
          <w:b/>
          <w:sz w:val="24"/>
          <w:lang w:bidi="ar"/>
        </w:rPr>
        <w:t xml:space="preserve">3</w:t>
      </w:r>
      <w:r>
        <w:rPr>
          <w:rFonts w:hint="eastAsia" w:ascii="宋体" w:hAnsi="宋体" w:cs="宋体"/>
          <w:b/>
          <w:sz w:val="24"/>
          <w:lang w:val="en" w:bidi="ar"/>
        </w:rPr>
        <w:t xml:space="preserve">.</w:t>
      </w:r>
      <w:r>
        <w:rPr>
          <w:rFonts w:hint="eastAsia" w:ascii="宋体" w:hAnsi="宋体" w:cs="宋体"/>
          <w:b/>
          <w:sz w:val="24"/>
          <w:lang w:bidi="ar"/>
        </w:rPr>
        <w:t xml:space="preserve">1.</w:t>
      </w:r>
      <w:r>
        <w:rPr>
          <w:rFonts w:hint="eastAsia" w:ascii="宋体" w:hAnsi="宋体" w:cs="宋体"/>
          <w:b/>
          <w:sz w:val="24"/>
          <w:lang w:val="en" w:bidi="ar"/>
        </w:rPr>
        <w:t xml:space="preserve">3</w:t>
      </w:r>
      <w:r>
        <w:rPr>
          <w:rFonts w:hint="eastAsia" w:ascii="宋体" w:hAnsi="宋体" w:cs="宋体"/>
          <w:b/>
          <w:sz w:val="24"/>
          <w:lang w:bidi="ar"/>
        </w:rPr>
        <w:t xml:space="preserve"> </w:t>
      </w:r>
      <w:r>
        <w:rPr>
          <w:rFonts w:hint="eastAsia" w:ascii="宋体" w:hAnsi="宋体" w:cs="宋体"/>
          <w:b/>
          <w:sz w:val="24"/>
          <w:szCs w:val="24"/>
          <w:lang w:val="en" w:bidi="ar"/>
        </w:rPr>
        <w:t xml:space="preserve">常州市应急管理局移动应用融合升级、常州市应急管理局应急管理指挥信息系统、常州市应急管理局三年安全生产专项整治信息系统、常州市安全生产许可备案审批“一网通”</w:t>
      </w:r>
      <w:r>
        <w:rPr>
          <w:rFonts w:hint="eastAsia" w:ascii="宋体" w:hAnsi="宋体" w:cs="宋体"/>
          <w:b/>
          <w:sz w:val="24"/>
          <w:lang w:val="en" w:bidi="ar"/>
        </w:rPr>
        <w:t xml:space="preserve">运维服务</w:t>
      </w:r>
      <w:r/>
    </w:p>
    <w:p>
      <w:pPr>
        <w:ind w:firstLine="482"/>
        <w:spacing w:line="240" w:lineRule="auto"/>
        <w:rPr>
          <w:rFonts w:hint="eastAsia" w:ascii="宋体" w:hAnsi="宋体" w:cs="宋体"/>
          <w:sz w:val="24"/>
          <w:lang w:bidi="ar"/>
        </w:rPr>
      </w:pPr>
      <w:r>
        <w:rPr>
          <w:rFonts w:hint="eastAsia" w:ascii="宋体" w:hAnsi="宋体" w:cs="宋体"/>
          <w:b/>
          <w:bCs/>
          <w:sz w:val="24"/>
          <w:lang w:bidi="ar"/>
        </w:rPr>
        <w:t xml:space="preserve">工作内容：</w:t>
      </w:r>
      <w:r>
        <w:rPr>
          <w:rFonts w:hint="eastAsia" w:ascii="宋体" w:hAnsi="宋体" w:cs="宋体"/>
          <w:sz w:val="24"/>
          <w:lang w:bidi="ar"/>
        </w:rPr>
        <w:t xml:space="preserve">负责系统维护工作，为系统使用用户提供售后技术咨询、支持服务，执行现场、远程等系统使用培训工作、日常系统版本迭代，优化、监测与省应急管理厅、市大数据中心、互联网+监管、政务服务网等系统数据对接、交换和共享。运维服务信息系统清单如下：</w:t>
      </w:r>
      <w:r/>
    </w:p>
    <w:tbl>
      <w:tblPr>
        <w:tblW w:w="8484" w:type="dxa"/>
        <w:tblLayout w:type="fixed"/>
        <w:tblLook w:val="04A0" w:firstRow="1" w:lastRow="0" w:firstColumn="1" w:lastColumn="0" w:noHBand="0" w:noVBand="1"/>
      </w:tblPr>
      <w:tblGrid>
        <w:gridCol w:w="729"/>
        <w:gridCol w:w="3405"/>
        <w:gridCol w:w="1560"/>
        <w:gridCol w:w="1335"/>
        <w:gridCol w:w="1455"/>
      </w:tblGrid>
      <w:tr>
        <w:trPr>
          <w:trHeight w:val="57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cs="宋体"/>
                <w:b/>
                <w:color w:val="000000"/>
                <w:sz w:val="16"/>
                <w:szCs w:val="21"/>
              </w:rPr>
            </w:pPr>
            <w:r>
              <w:rPr>
                <w:rFonts w:hint="eastAsia" w:ascii="宋体" w:hAnsi="宋体" w:cs="宋体"/>
                <w:b/>
                <w:color w:val="000000"/>
                <w:sz w:val="16"/>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widowControl/>
              <w:rPr>
                <w:rFonts w:hint="eastAsia" w:ascii="宋体" w:hAnsi="宋体" w:cs="宋体"/>
                <w:b/>
                <w:color w:val="000000"/>
                <w:sz w:val="16"/>
                <w:szCs w:val="21"/>
              </w:rPr>
            </w:pPr>
            <w:r>
              <w:rPr>
                <w:rFonts w:hint="eastAsia" w:ascii="宋体" w:hAnsi="宋体" w:cs="宋体"/>
                <w:b/>
                <w:color w:val="000000"/>
                <w:sz w:val="16"/>
                <w:szCs w:val="21"/>
                <w:lang w:bidi="ar"/>
              </w:rPr>
              <w:t xml:space="preserve">合同名称</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b/>
                <w:color w:val="000000"/>
                <w:sz w:val="16"/>
                <w:szCs w:val="21"/>
              </w:rPr>
            </w:pPr>
            <w:r>
              <w:rPr>
                <w:rFonts w:hint="eastAsia" w:ascii="宋体" w:hAnsi="宋体" w:cs="宋体"/>
                <w:b/>
                <w:color w:val="000000"/>
                <w:sz w:val="16"/>
                <w:szCs w:val="21"/>
                <w:lang w:bidi="ar"/>
              </w:rPr>
              <w:t xml:space="preserve">合同签订时间</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b/>
                <w:color w:val="000000"/>
                <w:sz w:val="16"/>
                <w:szCs w:val="21"/>
              </w:rPr>
            </w:pPr>
            <w:r>
              <w:rPr>
                <w:rFonts w:hint="eastAsia" w:ascii="宋体" w:hAnsi="宋体" w:cs="宋体"/>
                <w:b/>
                <w:color w:val="000000"/>
                <w:sz w:val="16"/>
                <w:szCs w:val="21"/>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
                <w:color w:val="000000"/>
                <w:sz w:val="16"/>
              </w:rPr>
            </w:pPr>
            <w:r>
              <w:rPr>
                <w:rFonts w:hint="eastAsia" w:ascii="宋体" w:hAnsi="宋体" w:cs="宋体"/>
                <w:b/>
                <w:color w:val="000000"/>
                <w:sz w:val="16"/>
                <w:lang w:bidi="ar"/>
              </w:rPr>
              <w:t xml:space="preserve">合同总额（元）</w:t>
            </w:r>
            <w:r/>
          </w:p>
        </w:tc>
      </w:tr>
      <w:tr>
        <w:trPr>
          <w:trHeight w:val="57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常州市应急管理局移动应用融合升级采购合同</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2019年12月</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2020年12月</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right"/>
              <w:spacing w:line="240" w:lineRule="auto"/>
              <w:widowControl/>
              <w:rPr>
                <w:rFonts w:hint="eastAsia" w:ascii="宋体" w:hAnsi="宋体" w:cs="宋体"/>
                <w:color w:val="000000"/>
                <w:sz w:val="18"/>
              </w:rPr>
            </w:pPr>
            <w:r>
              <w:rPr>
                <w:rFonts w:hint="eastAsia" w:ascii="宋体" w:hAnsi="宋体" w:cs="宋体"/>
                <w:color w:val="000000"/>
                <w:sz w:val="18"/>
                <w:lang w:bidi="ar"/>
              </w:rPr>
              <w:t xml:space="preserve">178000</w:t>
            </w:r>
            <w:r/>
          </w:p>
        </w:tc>
      </w:tr>
      <w:tr>
        <w:trPr>
          <w:trHeight w:val="57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常州市应急管理局应急管理指挥信息系统项目</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2020年8月</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2021年10月</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right"/>
              <w:spacing w:line="240" w:lineRule="auto"/>
              <w:widowControl/>
              <w:rPr>
                <w:rFonts w:hint="eastAsia" w:ascii="宋体" w:hAnsi="宋体" w:cs="宋体"/>
                <w:color w:val="000000"/>
                <w:sz w:val="18"/>
              </w:rPr>
            </w:pPr>
            <w:r>
              <w:rPr>
                <w:rFonts w:hint="eastAsia" w:ascii="宋体" w:hAnsi="宋体" w:cs="宋体"/>
                <w:color w:val="000000"/>
                <w:sz w:val="18"/>
                <w:lang w:bidi="ar"/>
              </w:rPr>
              <w:t xml:space="preserve">1385000</w:t>
            </w:r>
            <w:r/>
          </w:p>
        </w:tc>
      </w:tr>
      <w:tr>
        <w:trPr>
          <w:trHeight w:val="57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常州市应急管理局三年安全生产专项整治信息系统项目</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2021年11月</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2022年4月</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right"/>
              <w:spacing w:line="240" w:lineRule="auto"/>
              <w:widowControl/>
              <w:rPr>
                <w:rFonts w:hint="eastAsia" w:ascii="宋体" w:hAnsi="宋体" w:cs="宋体"/>
                <w:color w:val="000000"/>
                <w:sz w:val="18"/>
              </w:rPr>
            </w:pPr>
            <w:r>
              <w:rPr>
                <w:rFonts w:hint="eastAsia" w:ascii="宋体" w:hAnsi="宋体" w:cs="宋体"/>
                <w:color w:val="000000"/>
                <w:sz w:val="18"/>
                <w:lang w:bidi="ar"/>
              </w:rPr>
              <w:t xml:space="preserve">260000</w:t>
            </w:r>
            <w:r/>
          </w:p>
        </w:tc>
      </w:tr>
      <w:tr>
        <w:trPr>
          <w:trHeight w:val="421"/>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常州市安全生产许可备案审批“一网通”</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2021年11月</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cs="宋体"/>
                <w:color w:val="000000"/>
                <w:sz w:val="18"/>
                <w:szCs w:val="21"/>
              </w:rPr>
            </w:pPr>
            <w:r>
              <w:rPr>
                <w:rFonts w:hint="eastAsia" w:ascii="宋体" w:hAnsi="宋体" w:cs="宋体"/>
                <w:color w:val="000000"/>
                <w:sz w:val="18"/>
                <w:szCs w:val="21"/>
                <w:lang w:bidi="ar"/>
              </w:rPr>
              <w:t xml:space="preserve">2022年6月</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right"/>
              <w:spacing w:line="240" w:lineRule="auto"/>
              <w:widowControl/>
              <w:rPr>
                <w:rFonts w:hint="eastAsia" w:ascii="宋体" w:hAnsi="宋体" w:cs="宋体"/>
                <w:color w:val="000000"/>
                <w:sz w:val="18"/>
              </w:rPr>
            </w:pPr>
            <w:r>
              <w:rPr>
                <w:rFonts w:hint="eastAsia" w:ascii="宋体" w:hAnsi="宋体" w:cs="宋体"/>
                <w:color w:val="000000"/>
                <w:sz w:val="18"/>
                <w:lang w:bidi="ar"/>
              </w:rPr>
              <w:t xml:space="preserve">481000</w:t>
            </w:r>
            <w:r/>
          </w:p>
        </w:tc>
      </w:tr>
      <w:tr>
        <w:trPr>
          <w:trHeight w:val="378"/>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widowControl/>
              <w:rPr>
                <w:rFonts w:hint="eastAsia" w:ascii="宋体" w:hAnsi="宋体" w:cs="宋体"/>
                <w:color w:val="000000"/>
                <w:sz w:val="18"/>
                <w:szCs w:val="21"/>
                <w:lang w:bidi="ar"/>
              </w:rPr>
            </w:pPr>
            <w:r>
              <w:rPr>
                <w:rFonts w:hint="eastAsia" w:ascii="宋体" w:hAnsi="宋体" w:cs="宋体"/>
                <w:color w:val="000000"/>
                <w:sz w:val="18"/>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spacing w:line="240" w:lineRule="auto"/>
              <w:widowControl/>
              <w:rPr>
                <w:rFonts w:hint="eastAsia" w:ascii="宋体" w:hAnsi="宋体" w:cs="宋体"/>
                <w:color w:val="000000"/>
                <w:sz w:val="18"/>
                <w:szCs w:val="21"/>
                <w:lang w:bidi="ar"/>
              </w:rPr>
            </w:pPr>
            <w:r>
              <w:rPr>
                <w:rFonts w:hint="eastAsia" w:ascii="宋体" w:hAnsi="宋体" w:cs="宋体"/>
                <w:color w:val="000000"/>
                <w:sz w:val="18"/>
                <w:szCs w:val="21"/>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rPr>
                <w:rFonts w:hint="eastAsia" w:ascii="宋体" w:hAnsi="宋体" w:cs="宋体"/>
                <w:color w:val="000000"/>
                <w:sz w:val="18"/>
                <w:szCs w:val="21"/>
                <w:lang w:bidi="ar"/>
              </w:rPr>
            </w:pPr>
            <w:r>
              <w:rPr>
                <w:rFonts w:hint="eastAsia" w:ascii="宋体" w:hAnsi="宋体" w:cs="宋体"/>
                <w:color w:val="000000"/>
                <w:sz w:val="18"/>
                <w:szCs w:val="21"/>
                <w:lang w:bidi="ar"/>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cs="宋体"/>
                <w:color w:val="000000"/>
                <w:sz w:val="18"/>
                <w:szCs w:val="21"/>
                <w:lang w:bidi="ar"/>
              </w:rPr>
            </w:pPr>
            <w:r>
              <w:rPr>
                <w:rFonts w:hint="eastAsia" w:ascii="宋体" w:hAnsi="宋体" w:cs="宋体"/>
                <w:color w:val="000000"/>
                <w:sz w:val="18"/>
                <w:szCs w:val="21"/>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right"/>
              <w:spacing w:line="240" w:lineRule="auto"/>
              <w:widowControl/>
              <w:rPr>
                <w:rFonts w:hint="eastAsia" w:ascii="宋体" w:hAnsi="宋体" w:cs="宋体"/>
                <w:color w:val="000000"/>
                <w:sz w:val="18"/>
                <w:lang w:val="en" w:bidi="ar"/>
              </w:rPr>
            </w:pPr>
            <w:r>
              <w:rPr>
                <w:rFonts w:ascii="宋体" w:hAnsi="宋体" w:cs="宋体"/>
                <w:color w:val="000000"/>
                <w:sz w:val="18"/>
                <w:lang w:val="en" w:bidi="ar"/>
              </w:rPr>
              <w:t xml:space="preserve">2304000</w:t>
            </w:r>
            <w:r/>
          </w:p>
        </w:tc>
      </w:tr>
    </w:tbl>
    <w:p>
      <w:pPr>
        <w:ind w:firstLine="482"/>
        <w:spacing w:line="240" w:lineRule="auto"/>
        <w:rPr>
          <w:rFonts w:hint="eastAsia" w:ascii="宋体" w:hAnsi="宋体" w:cs="宋体"/>
          <w:b/>
          <w:sz w:val="24"/>
          <w:lang w:val="en" w:bidi="ar"/>
        </w:rPr>
      </w:pPr>
      <w:r>
        <w:rPr>
          <w:rFonts w:hint="eastAsia" w:ascii="宋体" w:hAnsi="宋体" w:cs="宋体"/>
          <w:b/>
          <w:sz w:val="24"/>
          <w:lang w:val="en" w:bidi="ar"/>
        </w:rPr>
        <w:t xml:space="preserve">工作要求：</w:t>
      </w:r>
      <w:r/>
    </w:p>
    <w:p>
      <w:pPr>
        <w:ind w:firstLine="482"/>
        <w:spacing w:line="240" w:lineRule="auto"/>
        <w:rPr>
          <w:rFonts w:hint="eastAsia" w:ascii="宋体" w:hAnsi="宋体" w:cs="宋体"/>
          <w:sz w:val="24"/>
          <w:lang w:bidi="ar"/>
        </w:rPr>
      </w:pPr>
      <w:r>
        <w:rPr>
          <w:rFonts w:hint="eastAsia" w:ascii="宋体" w:hAnsi="宋体" w:cs="宋体"/>
          <w:b/>
          <w:sz w:val="24"/>
          <w:lang w:val="en" w:bidi="ar"/>
        </w:rPr>
        <w:t xml:space="preserve">1.系统巡检。</w:t>
      </w:r>
      <w:r>
        <w:rPr>
          <w:rFonts w:hint="eastAsia" w:ascii="宋体" w:hAnsi="宋体" w:cs="宋体"/>
          <w:sz w:val="24"/>
          <w:lang w:bidi="ar"/>
        </w:rPr>
        <w:t xml:space="preserve">每月不少于1次系统巡检，保障系统正常、稳定运行。</w:t>
      </w:r>
      <w:r/>
    </w:p>
    <w:p>
      <w:pPr>
        <w:ind w:firstLine="482"/>
        <w:spacing w:line="240" w:lineRule="auto"/>
        <w:rPr>
          <w:rFonts w:hint="eastAsia" w:ascii="宋体" w:hAnsi="宋体" w:cs="宋体"/>
          <w:sz w:val="24"/>
          <w:lang w:bidi="ar"/>
        </w:rPr>
      </w:pPr>
      <w:r>
        <w:rPr>
          <w:rFonts w:hint="eastAsia" w:ascii="宋体" w:hAnsi="宋体" w:cs="宋体"/>
          <w:b/>
          <w:sz w:val="24"/>
          <w:lang w:val="en" w:bidi="ar"/>
        </w:rPr>
        <w:t xml:space="preserve">2.故障响应。</w:t>
      </w:r>
      <w:r>
        <w:rPr>
          <w:rFonts w:hint="eastAsia" w:ascii="宋体" w:hAnsi="宋体" w:cs="宋体"/>
          <w:sz w:val="24"/>
          <w:lang w:bidi="ar"/>
        </w:rPr>
        <w:t xml:space="preserve">提供7×24小时电话响应，系统故障1小时内响应，2小时内提出故障处理方案，24小时内完成故障处置或提供替代解决方案。</w:t>
      </w:r>
      <w:r/>
    </w:p>
    <w:p>
      <w:pPr>
        <w:ind w:firstLine="482"/>
        <w:spacing w:line="240" w:lineRule="auto"/>
        <w:rPr>
          <w:rFonts w:hint="eastAsia" w:ascii="宋体" w:hAnsi="宋体" w:cs="宋体"/>
          <w:sz w:val="24"/>
          <w:lang w:bidi="ar"/>
        </w:rPr>
      </w:pPr>
      <w:r>
        <w:rPr>
          <w:rFonts w:hint="eastAsia" w:ascii="宋体" w:hAnsi="宋体" w:cs="宋体"/>
          <w:b/>
          <w:sz w:val="24"/>
          <w:lang w:val="en" w:bidi="ar"/>
        </w:rPr>
        <w:t xml:space="preserve">3.技术服务。</w:t>
      </w:r>
      <w:r>
        <w:rPr>
          <w:rFonts w:hint="eastAsia" w:ascii="宋体" w:hAnsi="宋体" w:cs="宋体"/>
          <w:sz w:val="24"/>
          <w:lang w:bidi="ar"/>
        </w:rPr>
        <w:t xml:space="preserve">为系统用户提供技术咨询、支撑服务，及时解答、解决系统用户提出的技术问题。</w:t>
      </w:r>
      <w:r/>
    </w:p>
    <w:p>
      <w:pPr>
        <w:ind w:firstLine="482"/>
        <w:spacing w:line="240" w:lineRule="auto"/>
        <w:rPr>
          <w:rFonts w:hint="eastAsia" w:ascii="宋体" w:hAnsi="宋体" w:cs="宋体"/>
          <w:sz w:val="24"/>
          <w:lang w:bidi="ar"/>
        </w:rPr>
      </w:pPr>
      <w:r>
        <w:rPr>
          <w:rFonts w:hint="eastAsia" w:ascii="宋体" w:hAnsi="宋体" w:cs="宋体"/>
          <w:b/>
          <w:sz w:val="24"/>
          <w:lang w:val="en" w:bidi="ar"/>
        </w:rPr>
        <w:t xml:space="preserve">4.使用培训。</w:t>
      </w:r>
      <w:r>
        <w:rPr>
          <w:rFonts w:hint="eastAsia" w:ascii="宋体" w:hAnsi="宋体" w:cs="宋体"/>
          <w:sz w:val="24"/>
          <w:lang w:bidi="ar"/>
        </w:rPr>
        <w:t xml:space="preserve">根据系统使用需要，为用户提供现场、远程等系统使用培训工作。</w:t>
      </w:r>
      <w:r/>
    </w:p>
    <w:p>
      <w:pPr>
        <w:ind w:firstLine="482"/>
        <w:spacing w:line="240" w:lineRule="auto"/>
        <w:rPr>
          <w:rFonts w:hint="eastAsia" w:ascii="宋体" w:hAnsi="宋体" w:cs="宋体"/>
          <w:sz w:val="24"/>
          <w:lang w:bidi="ar"/>
        </w:rPr>
      </w:pPr>
      <w:r>
        <w:rPr>
          <w:rFonts w:hint="eastAsia" w:ascii="宋体" w:hAnsi="宋体" w:cs="宋体"/>
          <w:b/>
          <w:sz w:val="24"/>
          <w:lang w:val="en" w:bidi="ar"/>
        </w:rPr>
        <w:t xml:space="preserve">5.版本迭代。</w:t>
      </w:r>
      <w:r>
        <w:rPr>
          <w:rFonts w:hint="eastAsia" w:ascii="宋体" w:hAnsi="宋体" w:cs="宋体"/>
          <w:sz w:val="24"/>
          <w:lang w:bidi="ar"/>
        </w:rPr>
        <w:t xml:space="preserve">根据实际情况对系统进行迭代优化或制定迭代优化方案，包括调整系统参数、优化性能、升级软硬件设施等，以保持系统运行效率和稳定性。</w:t>
      </w:r>
      <w:r/>
    </w:p>
    <w:p>
      <w:pPr>
        <w:ind w:firstLine="482"/>
        <w:spacing w:line="240" w:lineRule="auto"/>
        <w:rPr>
          <w:rFonts w:hint="eastAsia" w:ascii="宋体" w:hAnsi="宋体" w:cs="宋体"/>
          <w:sz w:val="24"/>
          <w:lang w:bidi="ar"/>
        </w:rPr>
      </w:pPr>
      <w:r>
        <w:rPr>
          <w:rFonts w:hint="eastAsia" w:ascii="宋体" w:hAnsi="宋体" w:cs="宋体"/>
          <w:b/>
          <w:sz w:val="24"/>
          <w:lang w:val="en" w:bidi="ar"/>
        </w:rPr>
        <w:t xml:space="preserve">6.数据监测。</w:t>
      </w:r>
      <w:r>
        <w:rPr>
          <w:rFonts w:hint="eastAsia" w:ascii="宋体" w:hAnsi="宋体" w:cs="宋体"/>
          <w:sz w:val="24"/>
          <w:lang w:bidi="ar"/>
        </w:rPr>
        <w:t xml:space="preserve">优化、监测与省应急管理厅、市大数据中心、互联网+监管、政务服务网等系统数据对接、交换和共享，保障数据对接、交换和共享的及时、稳定、准确。</w:t>
      </w:r>
      <w:r/>
    </w:p>
    <w:p>
      <w:pPr>
        <w:ind w:firstLine="482"/>
        <w:spacing w:line="240" w:lineRule="auto"/>
        <w:rPr>
          <w:rFonts w:hint="eastAsia" w:ascii="宋体" w:hAnsi="宋体" w:cs="宋体"/>
          <w:b/>
          <w:sz w:val="24"/>
          <w:szCs w:val="24"/>
          <w:lang w:val="en" w:bidi="ar"/>
        </w:rPr>
      </w:pPr>
      <w:r>
        <w:rPr>
          <w:rFonts w:hint="eastAsia" w:ascii="宋体" w:hAnsi="宋体" w:cs="宋体"/>
          <w:b/>
          <w:sz w:val="24"/>
          <w:lang w:bidi="ar"/>
        </w:rPr>
        <w:t xml:space="preserve">2</w:t>
      </w:r>
      <w:r>
        <w:rPr>
          <w:rFonts w:hint="eastAsia" w:ascii="宋体" w:hAnsi="宋体" w:cs="宋体"/>
          <w:b/>
          <w:sz w:val="24"/>
          <w:lang w:val="en" w:bidi="ar"/>
        </w:rPr>
        <w:t xml:space="preserve">.</w:t>
      </w:r>
      <w:r>
        <w:rPr>
          <w:rFonts w:hint="eastAsia" w:ascii="宋体" w:hAnsi="宋体" w:cs="宋体"/>
          <w:b/>
          <w:sz w:val="24"/>
          <w:lang w:bidi="ar"/>
        </w:rPr>
        <w:t xml:space="preserve">3</w:t>
      </w:r>
      <w:r>
        <w:rPr>
          <w:rFonts w:hint="eastAsia" w:ascii="宋体" w:hAnsi="宋体" w:cs="宋体"/>
          <w:b/>
          <w:sz w:val="24"/>
          <w:lang w:val="en" w:bidi="ar"/>
        </w:rPr>
        <w:t xml:space="preserve">.</w:t>
      </w:r>
      <w:r>
        <w:rPr>
          <w:rFonts w:hint="eastAsia" w:ascii="宋体" w:hAnsi="宋体" w:cs="宋体"/>
          <w:b/>
          <w:sz w:val="24"/>
          <w:lang w:bidi="ar"/>
        </w:rPr>
        <w:t xml:space="preserve">1.</w:t>
      </w:r>
      <w:r>
        <w:rPr>
          <w:rFonts w:hint="eastAsia" w:ascii="宋体" w:hAnsi="宋体" w:cs="宋体"/>
          <w:b/>
          <w:sz w:val="24"/>
          <w:lang w:val="en" w:bidi="ar"/>
        </w:rPr>
        <w:t xml:space="preserve">4</w:t>
      </w:r>
      <w:r>
        <w:rPr>
          <w:rFonts w:hint="eastAsia" w:ascii="宋体" w:hAnsi="宋体" w:cs="宋体"/>
          <w:b/>
          <w:sz w:val="24"/>
          <w:lang w:bidi="ar"/>
        </w:rPr>
        <w:t xml:space="preserve"> </w:t>
      </w:r>
      <w:r>
        <w:rPr>
          <w:rFonts w:hint="eastAsia" w:ascii="宋体" w:hAnsi="宋体" w:cs="宋体"/>
          <w:b/>
          <w:sz w:val="24"/>
          <w:szCs w:val="24"/>
          <w:lang w:val="en" w:bidi="ar"/>
        </w:rPr>
        <w:t xml:space="preserve">常州市应急管理信息系统数据治理</w:t>
      </w:r>
      <w:r/>
    </w:p>
    <w:p>
      <w:pPr>
        <w:ind w:firstLine="480"/>
        <w:spacing w:line="240" w:lineRule="auto"/>
        <w:rPr>
          <w:rFonts w:hint="eastAsia" w:ascii="宋体" w:hAnsi="宋体" w:cs="宋体"/>
          <w:sz w:val="24"/>
          <w:lang w:bidi="ar"/>
        </w:rPr>
      </w:pPr>
      <w:r>
        <w:rPr>
          <w:rFonts w:hint="eastAsia" w:ascii="宋体" w:hAnsi="宋体" w:cs="宋体"/>
          <w:sz w:val="24"/>
          <w:lang w:bidi="ar"/>
        </w:rPr>
        <w:t xml:space="preserve">常态化支撑常州市应急管理信息系统与省应急管理资源平台、市大数据中心、政务服务平台以及其他各部门、区县、乡镇平台数据资源对接共享工作；按照安全生产业务</w:t>
      </w:r>
      <w:r>
        <w:rPr>
          <w:rFonts w:hint="eastAsia"/>
        </w:rPr>
        <w:t xml:space="preserve">要求提供数据数据分析服务。</w:t>
      </w:r>
      <w:r/>
    </w:p>
    <w:p>
      <w:pPr>
        <w:ind w:firstLine="359"/>
        <w:spacing w:line="240" w:lineRule="auto"/>
        <w:rPr>
          <w:rFonts w:hint="eastAsia" w:ascii="宋体" w:hAnsi="宋体" w:cs="宋体"/>
          <w:b/>
          <w:sz w:val="24"/>
          <w:lang w:bidi="ar"/>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3.2</w:t>
      </w:r>
      <w:r>
        <w:rPr>
          <w:rFonts w:ascii="宋体" w:hAnsi="宋体" w:cs="宋体"/>
          <w:b/>
          <w:sz w:val="24"/>
          <w:lang w:bidi="ar"/>
        </w:rPr>
        <w:t xml:space="preserve"> </w:t>
      </w:r>
      <w:r>
        <w:rPr>
          <w:rFonts w:hint="eastAsia" w:ascii="宋体" w:hAnsi="宋体" w:cs="宋体"/>
          <w:b/>
          <w:sz w:val="24"/>
          <w:lang w:bidi="ar"/>
        </w:rPr>
        <w:t xml:space="preserve">系统</w:t>
      </w:r>
      <w:r>
        <w:rPr>
          <w:rFonts w:ascii="宋体" w:hAnsi="宋体" w:cs="宋体"/>
          <w:b/>
          <w:sz w:val="24"/>
          <w:lang w:bidi="ar"/>
        </w:rPr>
        <w:t xml:space="preserve">软件租用</w:t>
      </w:r>
      <w:r/>
    </w:p>
    <w:p>
      <w:pPr>
        <w:ind w:firstLine="361"/>
        <w:spacing w:line="240" w:lineRule="auto"/>
        <w:rPr>
          <w:rFonts w:hint="eastAsia" w:ascii="宋体" w:hAnsi="宋体" w:cs="宋体"/>
          <w:b/>
          <w:sz w:val="24"/>
          <w:lang w:bidi="ar"/>
        </w:rPr>
      </w:pPr>
      <w:r>
        <w:rPr>
          <w:rFonts w:hint="eastAsia" w:ascii="宋体" w:hAnsi="宋体" w:cs="宋体"/>
          <w:b/>
          <w:sz w:val="24"/>
          <w:lang w:bidi="ar"/>
        </w:rPr>
        <w:t xml:space="preserve">2.3</w:t>
      </w:r>
      <w:r>
        <w:rPr>
          <w:rFonts w:ascii="宋体" w:hAnsi="宋体" w:cs="宋体"/>
          <w:b/>
          <w:sz w:val="24"/>
          <w:lang w:bidi="ar"/>
        </w:rPr>
        <w:t xml:space="preserve">.</w:t>
      </w:r>
      <w:r>
        <w:rPr>
          <w:rFonts w:hint="eastAsia" w:ascii="宋体" w:hAnsi="宋体" w:cs="宋体"/>
          <w:b/>
          <w:sz w:val="24"/>
          <w:lang w:bidi="ar"/>
        </w:rPr>
        <w:t xml:space="preserve">2</w:t>
      </w:r>
      <w:r>
        <w:rPr>
          <w:rFonts w:ascii="宋体" w:hAnsi="宋体" w:cs="宋体"/>
          <w:b/>
          <w:sz w:val="24"/>
          <w:lang w:bidi="ar"/>
        </w:rPr>
        <w:t xml:space="preserve">.1</w:t>
      </w:r>
      <w:r>
        <w:rPr>
          <w:rFonts w:hint="eastAsia" w:ascii="宋体" w:hAnsi="宋体" w:cs="宋体"/>
          <w:b/>
          <w:sz w:val="24"/>
          <w:lang w:bidi="ar"/>
        </w:rPr>
        <w:t xml:space="preserve">  “舆情监测系统”</w:t>
      </w:r>
      <w:r>
        <w:rPr>
          <w:rFonts w:ascii="宋体" w:hAnsi="宋体" w:cs="宋体"/>
          <w:b/>
          <w:sz w:val="24"/>
          <w:lang w:bidi="ar"/>
        </w:rPr>
        <w:t xml:space="preserve">。</w:t>
      </w:r>
      <w:r/>
    </w:p>
    <w:p>
      <w:pPr>
        <w:ind w:firstLine="360"/>
        <w:spacing w:line="240" w:lineRule="auto"/>
        <w:rPr>
          <w:rFonts w:hint="eastAsia" w:ascii="宋体" w:hAnsi="宋体" w:cs="宋体"/>
          <w:sz w:val="24"/>
          <w:lang w:bidi="ar"/>
        </w:rPr>
      </w:pPr>
      <w:r>
        <w:rPr>
          <w:rFonts w:hint="eastAsia" w:ascii="宋体" w:hAnsi="宋体" w:cs="宋体"/>
          <w:sz w:val="24"/>
          <w:lang w:bidi="ar"/>
        </w:rPr>
        <w:t xml:space="preserve">通过央视网、央视新闻频道、新闻直播间、江苏网络电视台（JSTV）、人民网、新华网、中国新闻网、新京报网、凤凰网、新浪、搜狐、腾讯、新华日报、扬子晚报网、中吴网、化龙巷、常州网络广播电视（CZTV）、新浪微博、腾讯微博等网站论坛等</w:t>
      </w:r>
      <w:r>
        <w:rPr>
          <w:rFonts w:ascii="宋体" w:hAnsi="宋体" w:cs="宋体"/>
          <w:sz w:val="24"/>
          <w:lang w:bidi="ar"/>
        </w:rPr>
        <w:t xml:space="preserve">网址数据采</w:t>
      </w:r>
      <w:r>
        <w:rPr>
          <w:rFonts w:hint="eastAsia" w:ascii="宋体" w:hAnsi="宋体" w:cs="宋体"/>
          <w:sz w:val="24"/>
          <w:lang w:bidi="ar"/>
        </w:rPr>
        <w:t xml:space="preserve">集</w:t>
      </w:r>
      <w:r>
        <w:rPr>
          <w:rFonts w:ascii="宋体" w:hAnsi="宋体" w:cs="宋体"/>
          <w:sz w:val="24"/>
          <w:lang w:bidi="ar"/>
        </w:rPr>
        <w:t xml:space="preserve">，</w:t>
      </w:r>
      <w:r>
        <w:rPr>
          <w:rFonts w:hint="eastAsia" w:ascii="宋体" w:hAnsi="宋体" w:cs="宋体"/>
          <w:sz w:val="24"/>
          <w:lang w:bidi="ar"/>
        </w:rPr>
        <w:t xml:space="preserve">“舆情监测系统”关键</w:t>
      </w:r>
      <w:r>
        <w:rPr>
          <w:rFonts w:ascii="宋体" w:hAnsi="宋体" w:cs="宋体"/>
          <w:sz w:val="24"/>
          <w:lang w:bidi="ar"/>
        </w:rPr>
        <w:t xml:space="preserve">字段自定义，实现</w:t>
      </w:r>
      <w:r>
        <w:rPr>
          <w:rFonts w:hint="eastAsia" w:ascii="宋体" w:hAnsi="宋体" w:cs="宋体"/>
          <w:sz w:val="24"/>
          <w:lang w:bidi="ar"/>
        </w:rPr>
        <w:t xml:space="preserve">涉及全</w:t>
      </w:r>
      <w:r>
        <w:rPr>
          <w:rFonts w:ascii="宋体" w:hAnsi="宋体" w:cs="宋体"/>
          <w:sz w:val="24"/>
          <w:lang w:bidi="ar"/>
        </w:rPr>
        <w:t xml:space="preserve">市</w:t>
      </w:r>
      <w:r>
        <w:rPr>
          <w:rFonts w:hint="eastAsia" w:ascii="宋体" w:hAnsi="宋体" w:cs="宋体"/>
          <w:sz w:val="24"/>
          <w:lang w:bidi="ar"/>
        </w:rPr>
        <w:t xml:space="preserve">应急</w:t>
      </w:r>
      <w:r>
        <w:rPr>
          <w:rFonts w:ascii="宋体" w:hAnsi="宋体" w:cs="宋体"/>
          <w:sz w:val="24"/>
          <w:lang w:bidi="ar"/>
        </w:rPr>
        <w:t xml:space="preserve">舆情事</w:t>
      </w:r>
      <w:r>
        <w:rPr>
          <w:rFonts w:hint="eastAsia" w:ascii="宋体" w:hAnsi="宋体" w:cs="宋体"/>
          <w:sz w:val="24"/>
          <w:lang w:bidi="ar"/>
        </w:rPr>
        <w:t xml:space="preserve">件</w:t>
      </w:r>
      <w:r>
        <w:rPr>
          <w:rFonts w:ascii="宋体" w:hAnsi="宋体" w:cs="宋体"/>
          <w:sz w:val="24"/>
          <w:lang w:bidi="ar"/>
        </w:rPr>
        <w:t xml:space="preserve">的</w:t>
      </w:r>
      <w:r>
        <w:rPr>
          <w:rFonts w:hint="eastAsia" w:ascii="宋体" w:hAnsi="宋体" w:cs="宋体"/>
          <w:sz w:val="24"/>
          <w:lang w:bidi="ar"/>
        </w:rPr>
        <w:t xml:space="preserve">推</w:t>
      </w:r>
      <w:r>
        <w:rPr>
          <w:rFonts w:ascii="宋体" w:hAnsi="宋体" w:cs="宋体"/>
          <w:sz w:val="24"/>
          <w:lang w:bidi="ar"/>
        </w:rPr>
        <w:t xml:space="preserve">送和提醒</w:t>
      </w:r>
      <w:r>
        <w:rPr>
          <w:rFonts w:hint="eastAsia" w:ascii="宋体" w:hAnsi="宋体" w:cs="宋体"/>
          <w:sz w:val="24"/>
          <w:lang w:bidi="ar"/>
        </w:rPr>
        <w:t xml:space="preserve">。</w:t>
      </w:r>
      <w:r/>
    </w:p>
    <w:p>
      <w:pPr>
        <w:ind w:firstLine="361"/>
        <w:spacing w:line="240" w:lineRule="auto"/>
        <w:rPr>
          <w:rFonts w:hint="eastAsia" w:ascii="宋体" w:hAnsi="宋体" w:cs="宋体"/>
          <w:b/>
          <w:sz w:val="24"/>
          <w:lang w:bidi="ar"/>
        </w:rPr>
      </w:pPr>
      <w:r>
        <w:rPr>
          <w:rFonts w:hint="eastAsia" w:ascii="宋体" w:hAnsi="宋体" w:cs="宋体"/>
          <w:b/>
          <w:sz w:val="24"/>
          <w:lang w:bidi="ar"/>
        </w:rPr>
        <w:t xml:space="preserve">2.3</w:t>
      </w:r>
      <w:r>
        <w:rPr>
          <w:rFonts w:ascii="宋体" w:hAnsi="宋体" w:cs="宋体"/>
          <w:b/>
          <w:sz w:val="24"/>
          <w:lang w:bidi="ar"/>
        </w:rPr>
        <w:t xml:space="preserve">.</w:t>
      </w: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2 19枚电子审批签章嵌入平</w:t>
      </w:r>
      <w:r>
        <w:rPr>
          <w:rFonts w:ascii="宋体" w:hAnsi="宋体" w:cs="宋体"/>
          <w:b/>
          <w:sz w:val="24"/>
          <w:lang w:bidi="ar"/>
        </w:rPr>
        <w:t xml:space="preserve">台</w:t>
      </w:r>
      <w:r>
        <w:rPr>
          <w:rFonts w:hint="eastAsia" w:ascii="宋体" w:hAnsi="宋体" w:cs="宋体"/>
          <w:b/>
          <w:sz w:val="24"/>
          <w:lang w:bidi="ar"/>
        </w:rPr>
        <w:t xml:space="preserve">。</w:t>
      </w:r>
      <w:r/>
    </w:p>
    <w:p>
      <w:pPr>
        <w:ind w:firstLine="360"/>
        <w:spacing w:line="240" w:lineRule="auto"/>
        <w:rPr>
          <w:rFonts w:hint="eastAsia" w:ascii="宋体" w:hAnsi="宋体" w:cs="宋体"/>
          <w:sz w:val="24"/>
          <w:lang w:bidi="ar"/>
        </w:rPr>
      </w:pPr>
      <w:r>
        <w:rPr>
          <w:rFonts w:hint="eastAsia" w:ascii="宋体" w:hAnsi="宋体" w:cs="宋体"/>
          <w:sz w:val="24"/>
          <w:lang w:bidi="ar"/>
        </w:rPr>
        <w:t xml:space="preserve">租</w:t>
      </w:r>
      <w:r>
        <w:rPr>
          <w:rFonts w:ascii="宋体" w:hAnsi="宋体" w:cs="宋体"/>
          <w:sz w:val="24"/>
          <w:lang w:bidi="ar"/>
        </w:rPr>
        <w:t xml:space="preserve">用</w:t>
      </w:r>
      <w:r>
        <w:rPr>
          <w:rFonts w:hint="eastAsia" w:ascii="宋体" w:hAnsi="宋体" w:cs="宋体"/>
          <w:sz w:val="24"/>
          <w:lang w:bidi="ar"/>
        </w:rPr>
        <w:t xml:space="preserve">第三方公共签章平台，实现申报与审批文件的在线签章，签章平台应符</w:t>
      </w:r>
      <w:r>
        <w:rPr>
          <w:rFonts w:ascii="宋体" w:hAnsi="宋体" w:cs="宋体"/>
          <w:sz w:val="24"/>
          <w:lang w:bidi="ar"/>
        </w:rPr>
        <w:t xml:space="preserve">合</w:t>
      </w:r>
      <w:r>
        <w:rPr>
          <w:rFonts w:hint="eastAsia" w:ascii="宋体" w:hAnsi="宋体" w:cs="宋体"/>
          <w:sz w:val="24"/>
          <w:lang w:bidi="ar"/>
        </w:rPr>
        <w:t xml:space="preserve">加解密运算过程的可行性、高效性、安全性和用户身份的合法性；符合国密要求，保障数据流、电子文件流转的安全性</w:t>
      </w:r>
      <w:r>
        <w:rPr>
          <w:rFonts w:ascii="宋体" w:hAnsi="宋体" w:cs="宋体"/>
          <w:sz w:val="24"/>
          <w:lang w:bidi="ar"/>
        </w:rPr>
        <w:t xml:space="preserve">。</w:t>
      </w:r>
      <w:r/>
    </w:p>
    <w:p>
      <w:pPr>
        <w:ind w:firstLine="482"/>
        <w:jc w:val="left"/>
        <w:spacing w:line="240" w:lineRule="auto"/>
        <w:rPr>
          <w:rFonts w:hint="eastAsia" w:ascii="宋体" w:hAnsi="宋体" w:cs="宋体"/>
          <w:b/>
          <w:sz w:val="24"/>
          <w:lang w:bidi="ar"/>
        </w:rPr>
      </w:pPr>
      <w:r>
        <w:rPr>
          <w:rFonts w:hint="eastAsia" w:ascii="宋体" w:hAnsi="宋体" w:cs="宋体"/>
          <w:b/>
          <w:sz w:val="24"/>
          <w:lang w:bidi="ar"/>
        </w:rPr>
        <w:t xml:space="preserve">2.3.2.3  </w:t>
      </w:r>
      <w:r>
        <w:rPr>
          <w:rFonts w:hint="eastAsia" w:ascii="宋体" w:hAnsi="宋体" w:cs="宋体"/>
          <w:b/>
          <w:sz w:val="24"/>
          <w:lang w:val="en" w:bidi="ar"/>
        </w:rPr>
        <w:t xml:space="preserve">重点监管企业视频云平台租用（含100</w:t>
      </w:r>
      <w:r>
        <w:rPr>
          <w:rFonts w:hint="eastAsia" w:ascii="宋体" w:hAnsi="宋体" w:cs="宋体"/>
          <w:b/>
          <w:sz w:val="24"/>
          <w:lang w:bidi="ar"/>
        </w:rPr>
        <w:t xml:space="preserve">T视频存储池</w:t>
      </w:r>
      <w:r>
        <w:rPr>
          <w:rFonts w:hint="eastAsia" w:ascii="宋体" w:hAnsi="宋体" w:cs="宋体"/>
          <w:b/>
          <w:sz w:val="24"/>
          <w:lang w:val="en" w:bidi="ar"/>
        </w:rPr>
        <w:t xml:space="preserve">）</w:t>
      </w:r>
      <w:r/>
    </w:p>
    <w:p>
      <w:pPr>
        <w:contextualSpacing/>
        <w:ind w:firstLine="420"/>
        <w:jc w:val="left"/>
        <w:spacing w:line="240" w:lineRule="auto"/>
        <w:rPr>
          <w:rFonts w:hint="eastAsia" w:ascii="宋体" w:hAnsi="宋体" w:cs="Segoe UI Symbol"/>
          <w:bCs/>
          <w:sz w:val="24"/>
        </w:rPr>
      </w:pPr>
      <w:r>
        <w:rPr>
          <w:rFonts w:hint="eastAsia" w:ascii="宋体" w:hAnsi="宋体" w:cs="Segoe UI Symbol"/>
          <w:bCs/>
          <w:sz w:val="24"/>
        </w:rPr>
        <w:t xml:space="preserve">1、平台满足至少3</w:t>
      </w:r>
      <w:r>
        <w:rPr>
          <w:rFonts w:ascii="宋体" w:hAnsi="宋体" w:cs="Segoe UI Symbol"/>
          <w:bCs/>
          <w:sz w:val="24"/>
        </w:rPr>
        <w:t xml:space="preserve">000</w:t>
      </w:r>
      <w:r>
        <w:rPr>
          <w:rFonts w:hint="eastAsia" w:ascii="宋体" w:hAnsi="宋体" w:cs="Segoe UI Symbol"/>
          <w:bCs/>
          <w:sz w:val="24"/>
        </w:rPr>
        <w:t xml:space="preserve">路监控视频接入能力。</w:t>
      </w:r>
      <w:r/>
    </w:p>
    <w:p>
      <w:pPr>
        <w:contextualSpacing/>
        <w:ind w:firstLine="420"/>
        <w:jc w:val="left"/>
        <w:spacing w:line="240" w:lineRule="auto"/>
        <w:rPr>
          <w:rFonts w:hint="eastAsia" w:ascii="宋体" w:hAnsi="宋体" w:cs="Segoe UI Symbol"/>
          <w:bCs/>
          <w:sz w:val="24"/>
        </w:rPr>
      </w:pPr>
      <w:r>
        <w:rPr>
          <w:rFonts w:hint="eastAsia" w:ascii="宋体" w:hAnsi="宋体" w:cs="Segoe UI Symbol"/>
          <w:bCs/>
          <w:sz w:val="24"/>
        </w:rPr>
        <w:t xml:space="preserve">2、平台带有1</w:t>
      </w:r>
      <w:r>
        <w:rPr>
          <w:rFonts w:ascii="宋体" w:hAnsi="宋体" w:cs="Segoe UI Symbol"/>
          <w:bCs/>
          <w:sz w:val="24"/>
        </w:rPr>
        <w:t xml:space="preserve">00T</w:t>
      </w:r>
      <w:r>
        <w:rPr>
          <w:rFonts w:hint="eastAsia" w:ascii="宋体" w:hAnsi="宋体" w:cs="Segoe UI Symbol"/>
          <w:bCs/>
          <w:sz w:val="24"/>
        </w:rPr>
        <w:t xml:space="preserve">的存储池、内存212GB、CPU84G。</w:t>
      </w:r>
      <w:r/>
    </w:p>
    <w:p>
      <w:pPr>
        <w:contextualSpacing/>
        <w:ind w:firstLine="420"/>
        <w:jc w:val="left"/>
        <w:spacing w:line="240" w:lineRule="auto"/>
        <w:rPr>
          <w:rFonts w:hint="eastAsia" w:ascii="宋体" w:hAnsi="宋体" w:cs="Segoe UI Symbol"/>
          <w:bCs/>
          <w:sz w:val="24"/>
        </w:rPr>
      </w:pPr>
      <w:r>
        <w:rPr>
          <w:rFonts w:hint="eastAsia" w:ascii="宋体" w:hAnsi="宋体" w:cs="Segoe UI Symbol"/>
          <w:bCs/>
          <w:sz w:val="24"/>
        </w:rPr>
        <w:t xml:space="preserve">3、平台能够与省应急厅视频平台、常州市一网统管平台、常州市社会面监控平台、新北滨江园区平台共享视频资源。</w:t>
      </w:r>
      <w:r/>
    </w:p>
    <w:p>
      <w:pPr>
        <w:contextualSpacing/>
        <w:ind w:firstLine="420"/>
        <w:jc w:val="left"/>
        <w:spacing w:line="240" w:lineRule="auto"/>
        <w:rPr>
          <w:rFonts w:hint="eastAsia" w:ascii="宋体" w:hAnsi="宋体" w:cs="Segoe UI Symbol"/>
          <w:bCs/>
          <w:sz w:val="24"/>
        </w:rPr>
      </w:pPr>
      <w:r>
        <w:rPr>
          <w:rFonts w:ascii="宋体" w:hAnsi="宋体" w:cs="Segoe UI Symbol"/>
          <w:bCs/>
          <w:sz w:val="24"/>
        </w:rPr>
        <w:t xml:space="preserve">4</w:t>
      </w:r>
      <w:r>
        <w:rPr>
          <w:rFonts w:hint="eastAsia" w:ascii="宋体" w:hAnsi="宋体" w:cs="Segoe UI Symbol"/>
          <w:bCs/>
          <w:sz w:val="24"/>
        </w:rPr>
        <w:t xml:space="preserve">、平台带有A</w:t>
      </w:r>
      <w:r>
        <w:rPr>
          <w:rFonts w:ascii="宋体" w:hAnsi="宋体" w:cs="Segoe UI Symbol"/>
          <w:bCs/>
          <w:sz w:val="24"/>
        </w:rPr>
        <w:t xml:space="preserve">I</w:t>
      </w:r>
      <w:r>
        <w:rPr>
          <w:rFonts w:hint="eastAsia" w:ascii="宋体" w:hAnsi="宋体" w:cs="Segoe UI Symbol"/>
          <w:bCs/>
          <w:sz w:val="24"/>
        </w:rPr>
        <w:t xml:space="preserve">告警模块，满足前置摄像机A</w:t>
      </w:r>
      <w:r>
        <w:rPr>
          <w:rFonts w:ascii="宋体" w:hAnsi="宋体" w:cs="Segoe UI Symbol"/>
          <w:bCs/>
          <w:sz w:val="24"/>
        </w:rPr>
        <w:t xml:space="preserve">I</w:t>
      </w:r>
      <w:r>
        <w:rPr>
          <w:rFonts w:hint="eastAsia" w:ascii="宋体" w:hAnsi="宋体" w:cs="Segoe UI Symbol"/>
          <w:bCs/>
          <w:sz w:val="24"/>
        </w:rPr>
        <w:t xml:space="preserve">接入功能。</w:t>
      </w:r>
      <w:r/>
    </w:p>
    <w:p>
      <w:pPr>
        <w:contextualSpacing/>
        <w:ind w:firstLine="420"/>
        <w:jc w:val="left"/>
        <w:spacing w:line="240" w:lineRule="auto"/>
        <w:rPr>
          <w:rFonts w:hint="eastAsia" w:ascii="宋体" w:hAnsi="宋体" w:cs="Segoe UI Symbol"/>
          <w:bCs/>
          <w:sz w:val="24"/>
        </w:rPr>
      </w:pPr>
      <w:r>
        <w:rPr>
          <w:rFonts w:hint="eastAsia" w:ascii="宋体" w:hAnsi="宋体" w:cs="Segoe UI Symbol"/>
          <w:bCs/>
          <w:sz w:val="24"/>
        </w:rPr>
        <w:t xml:space="preserve">5、视频平台提供A</w:t>
      </w:r>
      <w:r>
        <w:rPr>
          <w:rFonts w:ascii="宋体" w:hAnsi="宋体" w:cs="Segoe UI Symbol"/>
          <w:bCs/>
          <w:sz w:val="24"/>
        </w:rPr>
        <w:t xml:space="preserve">PI</w:t>
      </w:r>
      <w:r>
        <w:rPr>
          <w:rFonts w:hint="eastAsia" w:ascii="宋体" w:hAnsi="宋体" w:cs="Segoe UI Symbol"/>
          <w:bCs/>
          <w:sz w:val="24"/>
        </w:rPr>
        <w:t xml:space="preserve">接口，满足应用软件视频、A</w:t>
      </w:r>
      <w:r>
        <w:rPr>
          <w:rFonts w:ascii="宋体" w:hAnsi="宋体" w:cs="Segoe UI Symbol"/>
          <w:bCs/>
          <w:sz w:val="24"/>
        </w:rPr>
        <w:t xml:space="preserve">I</w:t>
      </w:r>
      <w:r>
        <w:rPr>
          <w:rFonts w:hint="eastAsia" w:ascii="宋体" w:hAnsi="宋体" w:cs="Segoe UI Symbol"/>
          <w:bCs/>
          <w:sz w:val="24"/>
        </w:rPr>
        <w:t xml:space="preserve">事件调用功能。</w:t>
      </w:r>
      <w:r/>
    </w:p>
    <w:p>
      <w:pPr>
        <w:ind w:firstLine="482"/>
        <w:jc w:val="left"/>
        <w:spacing w:line="240" w:lineRule="auto"/>
        <w:rPr>
          <w:rFonts w:hint="eastAsia" w:ascii="宋体" w:hAnsi="宋体" w:cs="宋体"/>
          <w:b/>
          <w:sz w:val="24"/>
          <w:lang w:bidi="ar"/>
        </w:rPr>
      </w:pPr>
      <w:r>
        <w:rPr>
          <w:rFonts w:hint="eastAsia" w:ascii="宋体" w:hAnsi="宋体" w:cs="宋体"/>
          <w:b/>
          <w:sz w:val="24"/>
          <w:lang w:bidi="ar"/>
        </w:rPr>
        <w:t xml:space="preserve">2.3.2.4  云视频点播等服务</w:t>
      </w:r>
      <w:r/>
    </w:p>
    <w:p>
      <w:pPr>
        <w:ind w:firstLine="482"/>
        <w:jc w:val="left"/>
        <w:spacing w:line="240" w:lineRule="auto"/>
        <w:rPr>
          <w:rFonts w:hint="eastAsia" w:ascii="宋体" w:hAnsi="宋体" w:cs="Segoe UI Symbol"/>
          <w:bCs/>
          <w:sz w:val="24"/>
          <w:lang w:bidi="ar"/>
        </w:rPr>
      </w:pPr>
      <w:r>
        <w:rPr>
          <w:rFonts w:hint="eastAsia" w:ascii="宋体" w:hAnsi="宋体" w:cs="宋体"/>
          <w:b/>
          <w:sz w:val="24"/>
          <w:lang w:bidi="ar"/>
        </w:rPr>
        <w:t xml:space="preserve">2</w:t>
      </w:r>
      <w:r>
        <w:rPr>
          <w:rFonts w:hint="eastAsia" w:ascii="宋体" w:hAnsi="宋体" w:cs="Segoe UI Symbol"/>
          <w:bCs/>
          <w:sz w:val="24"/>
          <w:lang w:bidi="ar"/>
        </w:rPr>
        <w:t xml:space="preserve">50TB视频点播服务流量包和1TB视频存储服务、uniCloud服务、人员实名认证20万次、云核查实时音视频服务20万分钟、文档在线预览服务、常州应急域名SSL证书、高德GIS服务。</w:t>
      </w:r>
      <w:r/>
    </w:p>
    <w:p>
      <w:pPr>
        <w:contextualSpacing/>
        <w:ind w:firstLine="420"/>
        <w:jc w:val="left"/>
        <w:spacing w:before="120" w:line="240" w:lineRule="auto"/>
        <w:rPr>
          <w:rFonts w:hint="eastAsia" w:ascii="宋体" w:hAnsi="宋体" w:cs="Segoe UI Symbol"/>
          <w:b/>
          <w:bCs/>
          <w:sz w:val="24"/>
        </w:rPr>
      </w:pPr>
      <w:r>
        <w:rPr>
          <w:rFonts w:hint="eastAsia" w:ascii="宋体" w:hAnsi="宋体" w:cs="Segoe UI Symbol"/>
          <w:b/>
          <w:bCs/>
          <w:sz w:val="24"/>
        </w:rPr>
        <w:t xml:space="preserve">2.3.2.5  12350智能外呼服务、技术维护等智能外呼技术支持服务</w:t>
      </w:r>
      <w:r/>
    </w:p>
    <w:p>
      <w:pPr>
        <w:contextualSpacing/>
        <w:ind w:firstLine="480"/>
        <w:jc w:val="left"/>
        <w:spacing w:line="240" w:lineRule="auto"/>
        <w:rPr>
          <w:rFonts w:hint="eastAsia" w:ascii="宋体" w:hAnsi="宋体" w:cs="Segoe UI Symbol"/>
          <w:bCs/>
          <w:sz w:val="24"/>
          <w:lang w:bidi="ar"/>
        </w:rPr>
      </w:pPr>
      <w:r>
        <w:rPr>
          <w:rFonts w:hint="eastAsia" w:ascii="宋体" w:hAnsi="宋体" w:cs="Segoe UI Symbol"/>
          <w:bCs/>
          <w:sz w:val="24"/>
          <w:lang w:bidi="ar"/>
        </w:rPr>
        <w:t xml:space="preserve">保证出口带宽，保证通话支持sip协议传递。</w:t>
      </w:r>
      <w:r/>
    </w:p>
    <w:p>
      <w:pPr>
        <w:contextualSpacing/>
        <w:ind w:firstLine="420"/>
        <w:jc w:val="left"/>
        <w:spacing w:before="120" w:line="240" w:lineRule="auto"/>
        <w:rPr>
          <w:rFonts w:hint="eastAsia" w:ascii="宋体" w:hAnsi="宋体" w:cs="Segoe UI Symbol"/>
          <w:b/>
          <w:bCs/>
          <w:sz w:val="24"/>
        </w:rPr>
      </w:pPr>
      <w:r>
        <w:rPr>
          <w:rFonts w:hint="eastAsia" w:ascii="宋体" w:hAnsi="宋体" w:cs="Segoe UI Symbol"/>
          <w:b/>
          <w:bCs/>
          <w:sz w:val="24"/>
        </w:rPr>
        <w:t xml:space="preserve">2</w:t>
      </w:r>
      <w:r>
        <w:rPr>
          <w:rFonts w:ascii="宋体" w:hAnsi="宋体" w:cs="Segoe UI Symbol"/>
          <w:b/>
          <w:bCs/>
          <w:sz w:val="24"/>
        </w:rPr>
        <w:t xml:space="preserve">.</w:t>
      </w:r>
      <w:r>
        <w:rPr>
          <w:rFonts w:hint="eastAsia" w:ascii="宋体" w:hAnsi="宋体" w:cs="Segoe UI Symbol"/>
          <w:b/>
          <w:bCs/>
          <w:sz w:val="24"/>
        </w:rPr>
        <w:t xml:space="preserve">3.3</w:t>
      </w:r>
      <w:r>
        <w:rPr>
          <w:rFonts w:ascii="宋体" w:hAnsi="宋体" w:cs="Segoe UI Symbol"/>
          <w:b/>
          <w:bCs/>
          <w:sz w:val="24"/>
        </w:rPr>
        <w:t xml:space="preserve"> </w:t>
      </w:r>
      <w:r>
        <w:rPr>
          <w:rFonts w:hint="eastAsia" w:ascii="宋体" w:hAnsi="宋体" w:cs="Segoe UI Symbol"/>
          <w:b/>
          <w:bCs/>
          <w:sz w:val="24"/>
        </w:rPr>
        <w:t xml:space="preserve"> 网</w:t>
      </w:r>
      <w:r>
        <w:rPr>
          <w:rFonts w:ascii="宋体" w:hAnsi="宋体" w:cs="Segoe UI Symbol"/>
          <w:b/>
          <w:bCs/>
          <w:sz w:val="24"/>
        </w:rPr>
        <w:t xml:space="preserve">络安全</w:t>
      </w:r>
      <w:r>
        <w:rPr>
          <w:rFonts w:hint="eastAsia" w:ascii="宋体" w:hAnsi="宋体" w:cs="Segoe UI Symbol"/>
          <w:b/>
          <w:bCs/>
          <w:sz w:val="24"/>
        </w:rPr>
        <w:t xml:space="preserve">技术</w:t>
      </w:r>
      <w:r>
        <w:rPr>
          <w:rFonts w:ascii="宋体" w:hAnsi="宋体" w:cs="Segoe UI Symbol"/>
          <w:b/>
          <w:bCs/>
          <w:sz w:val="24"/>
        </w:rPr>
        <w:t xml:space="preserve">服务</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2.3</w:t>
      </w:r>
      <w:r>
        <w:rPr>
          <w:rFonts w:ascii="宋体" w:hAnsi="宋体" w:cs="宋体"/>
          <w:b/>
          <w:sz w:val="24"/>
          <w:lang w:bidi="ar"/>
        </w:rPr>
        <w:t xml:space="preserve">.</w:t>
      </w:r>
      <w:r>
        <w:rPr>
          <w:rFonts w:hint="eastAsia" w:ascii="宋体" w:hAnsi="宋体" w:cs="宋体"/>
          <w:b/>
          <w:sz w:val="24"/>
          <w:lang w:bidi="ar"/>
        </w:rPr>
        <w:t xml:space="preserve">3</w:t>
      </w:r>
      <w:r>
        <w:rPr>
          <w:rFonts w:ascii="宋体" w:hAnsi="宋体" w:cs="宋体"/>
          <w:b/>
          <w:sz w:val="24"/>
          <w:lang w:bidi="ar"/>
        </w:rPr>
        <w:t xml:space="preserve">.1</w:t>
      </w:r>
      <w:r>
        <w:rPr>
          <w:rFonts w:hint="eastAsia" w:ascii="宋体" w:hAnsi="宋体" w:cs="宋体"/>
          <w:b/>
          <w:sz w:val="24"/>
          <w:lang w:bidi="ar"/>
        </w:rPr>
        <w:t xml:space="preserve">  云主机虚拟</w:t>
      </w:r>
      <w:r>
        <w:rPr>
          <w:rFonts w:ascii="宋体" w:hAnsi="宋体" w:cs="宋体"/>
          <w:b/>
          <w:sz w:val="24"/>
          <w:lang w:bidi="ar"/>
        </w:rPr>
        <w:t xml:space="preserve">服务器</w:t>
      </w:r>
      <w:r>
        <w:rPr>
          <w:rFonts w:hint="eastAsia" w:ascii="宋体" w:hAnsi="宋体" w:cs="宋体"/>
          <w:b/>
          <w:sz w:val="24"/>
          <w:lang w:bidi="ar"/>
        </w:rPr>
        <w:t xml:space="preserve">系统软件运行维护</w:t>
      </w:r>
      <w:r/>
    </w:p>
    <w:p>
      <w:pPr>
        <w:ind w:firstLine="480"/>
        <w:spacing w:line="240" w:lineRule="auto"/>
        <w:rPr>
          <w:rFonts w:hint="eastAsia" w:ascii="宋体" w:hAnsi="宋体" w:cs="宋体"/>
          <w:sz w:val="24"/>
          <w:lang w:bidi="ar"/>
        </w:rPr>
      </w:pPr>
      <w:r>
        <w:rPr>
          <w:rFonts w:hint="eastAsia" w:ascii="宋体" w:hAnsi="宋体" w:cs="宋体"/>
          <w:sz w:val="24"/>
          <w:lang w:bidi="ar"/>
        </w:rPr>
        <w:t xml:space="preserve">60台以上云主机虚拟服务器系统软件运行维护。服务项目包括巡检维护和故障管理服务。巡检维护服务内容：每月对应急管理信息系统云主机系统软件进行检查和记录，每季度提供一份云主机分析报告服务，每季度为云主机提供一次性能</w:t>
      </w:r>
      <w:r>
        <w:rPr>
          <w:rFonts w:ascii="宋体" w:hAnsi="宋体" w:cs="宋体"/>
          <w:sz w:val="24"/>
          <w:lang w:bidi="ar"/>
        </w:rPr>
        <w:t xml:space="preserve">优化服务</w:t>
      </w:r>
      <w:r>
        <w:rPr>
          <w:rFonts w:hint="eastAsia" w:ascii="宋体" w:hAnsi="宋体" w:cs="宋体"/>
          <w:sz w:val="24"/>
          <w:lang w:bidi="ar"/>
        </w:rPr>
        <w:t xml:space="preserve">；</w:t>
      </w:r>
      <w:r>
        <w:rPr>
          <w:rFonts w:ascii="宋体" w:hAnsi="宋体" w:cs="宋体"/>
          <w:sz w:val="24"/>
          <w:lang w:bidi="ar"/>
        </w:rPr>
        <w:t xml:space="preserve">故障管理服务</w:t>
      </w:r>
      <w:r>
        <w:rPr>
          <w:rFonts w:hint="eastAsia" w:ascii="宋体" w:hAnsi="宋体" w:cs="宋体"/>
          <w:sz w:val="24"/>
          <w:lang w:bidi="ar"/>
        </w:rPr>
        <w:t xml:space="preserve">内容</w:t>
      </w:r>
      <w:r>
        <w:rPr>
          <w:rFonts w:ascii="宋体" w:hAnsi="宋体" w:cs="宋体"/>
          <w:sz w:val="24"/>
          <w:lang w:bidi="ar"/>
        </w:rPr>
        <w:t xml:space="preserve">：提供</w:t>
      </w:r>
      <w:r>
        <w:rPr>
          <w:rFonts w:hint="eastAsia" w:ascii="宋体" w:hAnsi="宋体" w:cs="宋体"/>
          <w:sz w:val="24"/>
          <w:lang w:bidi="ar"/>
        </w:rPr>
        <w:t xml:space="preserve">7×24小</w:t>
      </w:r>
      <w:r>
        <w:rPr>
          <w:rFonts w:ascii="宋体" w:hAnsi="宋体" w:cs="宋体"/>
          <w:sz w:val="24"/>
          <w:lang w:bidi="ar"/>
        </w:rPr>
        <w:t xml:space="preserve">时电话响应，</w:t>
      </w:r>
      <w:r>
        <w:rPr>
          <w:rFonts w:hint="eastAsia" w:ascii="宋体" w:hAnsi="宋体" w:cs="宋体"/>
          <w:sz w:val="24"/>
          <w:lang w:bidi="ar"/>
        </w:rPr>
        <w:t xml:space="preserve">1小</w:t>
      </w:r>
      <w:r>
        <w:rPr>
          <w:rFonts w:ascii="宋体" w:hAnsi="宋体" w:cs="宋体"/>
          <w:sz w:val="24"/>
          <w:lang w:bidi="ar"/>
        </w:rPr>
        <w:t xml:space="preserve">时到达现场服务，一般</w:t>
      </w:r>
      <w:r>
        <w:rPr>
          <w:rFonts w:hint="eastAsia" w:ascii="宋体" w:hAnsi="宋体" w:cs="宋体"/>
          <w:sz w:val="24"/>
          <w:lang w:bidi="ar"/>
        </w:rPr>
        <w:t xml:space="preserve">故障2小时</w:t>
      </w:r>
      <w:r>
        <w:rPr>
          <w:rFonts w:ascii="宋体" w:hAnsi="宋体" w:cs="宋体"/>
          <w:sz w:val="24"/>
          <w:lang w:bidi="ar"/>
        </w:rPr>
        <w:t xml:space="preserve">内解决，重大故障</w:t>
      </w:r>
      <w:r>
        <w:rPr>
          <w:rFonts w:hint="eastAsia" w:ascii="宋体" w:hAnsi="宋体" w:cs="宋体"/>
          <w:sz w:val="24"/>
          <w:lang w:bidi="ar"/>
        </w:rPr>
        <w:t xml:space="preserve">5工作</w:t>
      </w:r>
      <w:r>
        <w:rPr>
          <w:rFonts w:ascii="宋体" w:hAnsi="宋体" w:cs="宋体"/>
          <w:sz w:val="24"/>
          <w:lang w:bidi="ar"/>
        </w:rPr>
        <w:t xml:space="preserve">日解决或</w:t>
      </w:r>
      <w:r>
        <w:rPr>
          <w:rFonts w:hint="eastAsia" w:ascii="宋体" w:hAnsi="宋体" w:cs="宋体"/>
          <w:sz w:val="24"/>
          <w:lang w:bidi="ar"/>
        </w:rPr>
        <w:t xml:space="preserve">提供</w:t>
      </w:r>
      <w:r>
        <w:rPr>
          <w:rFonts w:ascii="宋体" w:hAnsi="宋体" w:cs="宋体"/>
          <w:sz w:val="24"/>
          <w:lang w:bidi="ar"/>
        </w:rPr>
        <w:t xml:space="preserve">替代解决方案。</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2.3</w:t>
      </w:r>
      <w:r>
        <w:rPr>
          <w:rFonts w:ascii="宋体" w:hAnsi="宋体" w:cs="宋体"/>
          <w:b/>
          <w:sz w:val="24"/>
          <w:lang w:bidi="ar"/>
        </w:rPr>
        <w:t xml:space="preserve">.</w:t>
      </w:r>
      <w:r>
        <w:rPr>
          <w:rFonts w:hint="eastAsia" w:ascii="宋体" w:hAnsi="宋体" w:cs="宋体"/>
          <w:b/>
          <w:sz w:val="24"/>
          <w:lang w:bidi="ar"/>
        </w:rPr>
        <w:t xml:space="preserve">3</w:t>
      </w:r>
      <w:r>
        <w:rPr>
          <w:rFonts w:ascii="宋体" w:hAnsi="宋体" w:cs="宋体"/>
          <w:b/>
          <w:sz w:val="24"/>
          <w:lang w:bidi="ar"/>
        </w:rPr>
        <w:t xml:space="preserve">.2</w:t>
      </w:r>
      <w:r>
        <w:rPr>
          <w:rFonts w:hint="eastAsia" w:ascii="宋体" w:hAnsi="宋体" w:cs="宋体"/>
          <w:b/>
          <w:sz w:val="24"/>
          <w:lang w:bidi="ar"/>
        </w:rPr>
        <w:t xml:space="preserve">  </w:t>
      </w:r>
      <w:r>
        <w:rPr>
          <w:rFonts w:ascii="宋体" w:hAnsi="宋体" w:cs="宋体"/>
          <w:b/>
          <w:sz w:val="24"/>
          <w:lang w:bidi="ar"/>
        </w:rPr>
        <w:t xml:space="preserve">信息系统</w:t>
      </w:r>
      <w:r>
        <w:rPr>
          <w:rFonts w:hint="eastAsia" w:ascii="宋体" w:hAnsi="宋体" w:cs="宋体"/>
          <w:b/>
          <w:sz w:val="24"/>
          <w:lang w:bidi="ar"/>
        </w:rPr>
        <w:t xml:space="preserve">网</w:t>
      </w:r>
      <w:r>
        <w:rPr>
          <w:rFonts w:ascii="宋体" w:hAnsi="宋体" w:cs="宋体"/>
          <w:b/>
          <w:sz w:val="24"/>
          <w:lang w:bidi="ar"/>
        </w:rPr>
        <w:t xml:space="preserve">络和信息</w:t>
      </w:r>
      <w:r>
        <w:rPr>
          <w:rFonts w:hint="eastAsia" w:ascii="宋体" w:hAnsi="宋体" w:cs="宋体"/>
          <w:b/>
          <w:sz w:val="24"/>
          <w:lang w:bidi="ar"/>
        </w:rPr>
        <w:t xml:space="preserve">安全自</w:t>
      </w:r>
      <w:r>
        <w:rPr>
          <w:rFonts w:ascii="宋体" w:hAnsi="宋体" w:cs="宋体"/>
          <w:b/>
          <w:sz w:val="24"/>
          <w:lang w:bidi="ar"/>
        </w:rPr>
        <w:t xml:space="preserve">查服务</w:t>
      </w:r>
      <w:r/>
    </w:p>
    <w:p>
      <w:pPr>
        <w:ind w:firstLine="480"/>
        <w:spacing w:line="240" w:lineRule="auto"/>
        <w:rPr>
          <w:rFonts w:hint="eastAsia" w:ascii="宋体" w:hAnsi="宋体" w:cs="宋体"/>
          <w:sz w:val="24"/>
          <w:lang w:bidi="ar"/>
        </w:rPr>
      </w:pPr>
      <w:r>
        <w:rPr>
          <w:rFonts w:hint="eastAsia" w:ascii="宋体" w:hAnsi="宋体" w:cs="宋体"/>
          <w:sz w:val="24"/>
          <w:lang w:bidi="ar"/>
        </w:rPr>
        <w:t xml:space="preserve">常州市应急管理局</w:t>
      </w:r>
      <w:r>
        <w:rPr>
          <w:rFonts w:ascii="宋体" w:hAnsi="宋体" w:cs="宋体"/>
          <w:sz w:val="24"/>
          <w:lang w:bidi="ar"/>
        </w:rPr>
        <w:t xml:space="preserve">运行维护的各类信息系统</w:t>
      </w:r>
      <w:r>
        <w:rPr>
          <w:rFonts w:hint="eastAsia" w:ascii="宋体" w:hAnsi="宋体" w:cs="宋体"/>
          <w:sz w:val="24"/>
          <w:lang w:bidi="ar"/>
        </w:rPr>
        <w:t xml:space="preserve">网</w:t>
      </w:r>
      <w:r>
        <w:rPr>
          <w:rFonts w:ascii="宋体" w:hAnsi="宋体" w:cs="宋体"/>
          <w:sz w:val="24"/>
          <w:lang w:bidi="ar"/>
        </w:rPr>
        <w:t xml:space="preserve">络和信息</w:t>
      </w:r>
      <w:r>
        <w:rPr>
          <w:rFonts w:hint="eastAsia" w:ascii="宋体" w:hAnsi="宋体" w:cs="宋体"/>
          <w:sz w:val="24"/>
          <w:lang w:bidi="ar"/>
        </w:rPr>
        <w:t xml:space="preserve">安全自</w:t>
      </w:r>
      <w:r>
        <w:rPr>
          <w:rFonts w:ascii="宋体" w:hAnsi="宋体" w:cs="宋体"/>
          <w:sz w:val="24"/>
          <w:lang w:bidi="ar"/>
        </w:rPr>
        <w:t xml:space="preserve">查服务</w:t>
      </w:r>
      <w:r>
        <w:rPr>
          <w:rFonts w:hint="eastAsia" w:ascii="宋体" w:hAnsi="宋体" w:cs="宋体"/>
          <w:sz w:val="24"/>
          <w:lang w:bidi="ar"/>
        </w:rPr>
        <w:t xml:space="preserve">，服务</w:t>
      </w:r>
      <w:r>
        <w:rPr>
          <w:rFonts w:ascii="宋体" w:hAnsi="宋体" w:cs="宋体"/>
          <w:sz w:val="24"/>
          <w:lang w:bidi="ar"/>
        </w:rPr>
        <w:t xml:space="preserve">系统</w:t>
      </w:r>
      <w:r>
        <w:rPr>
          <w:rFonts w:hint="eastAsia" w:ascii="宋体" w:hAnsi="宋体" w:cs="宋体"/>
          <w:sz w:val="24"/>
          <w:lang w:bidi="ar"/>
        </w:rPr>
        <w:t xml:space="preserve">包括常州</w:t>
      </w:r>
      <w:r>
        <w:rPr>
          <w:rFonts w:ascii="宋体" w:hAnsi="宋体" w:cs="宋体"/>
          <w:sz w:val="24"/>
          <w:lang w:bidi="ar"/>
        </w:rPr>
        <w:t xml:space="preserve">市级开发系统</w:t>
      </w:r>
      <w:r>
        <w:rPr>
          <w:rFonts w:hint="eastAsia" w:ascii="宋体" w:hAnsi="宋体" w:cs="宋体"/>
          <w:sz w:val="24"/>
          <w:lang w:bidi="ar"/>
        </w:rPr>
        <w:t xml:space="preserve">、省</w:t>
      </w:r>
      <w:r>
        <w:rPr>
          <w:rFonts w:ascii="宋体" w:hAnsi="宋体" w:cs="宋体"/>
          <w:sz w:val="24"/>
          <w:lang w:bidi="ar"/>
        </w:rPr>
        <w:t xml:space="preserve">级开发</w:t>
      </w:r>
      <w:r>
        <w:rPr>
          <w:rFonts w:hint="eastAsia" w:ascii="宋体" w:hAnsi="宋体" w:cs="宋体"/>
          <w:sz w:val="24"/>
          <w:lang w:bidi="ar"/>
        </w:rPr>
        <w:t xml:space="preserve">常州</w:t>
      </w:r>
      <w:r>
        <w:rPr>
          <w:rFonts w:ascii="宋体" w:hAnsi="宋体" w:cs="宋体"/>
          <w:sz w:val="24"/>
          <w:lang w:bidi="ar"/>
        </w:rPr>
        <w:t xml:space="preserve">市</w:t>
      </w:r>
      <w:r>
        <w:rPr>
          <w:rFonts w:hint="eastAsia" w:ascii="宋体" w:hAnsi="宋体" w:cs="宋体"/>
          <w:sz w:val="24"/>
          <w:lang w:bidi="ar"/>
        </w:rPr>
        <w:t xml:space="preserve">级部署</w:t>
      </w:r>
      <w:r>
        <w:rPr>
          <w:rFonts w:ascii="宋体" w:hAnsi="宋体" w:cs="宋体"/>
          <w:sz w:val="24"/>
          <w:lang w:bidi="ar"/>
        </w:rPr>
        <w:t xml:space="preserve">系统</w:t>
      </w:r>
      <w:r>
        <w:rPr>
          <w:rFonts w:hint="eastAsia" w:ascii="宋体" w:hAnsi="宋体" w:cs="宋体"/>
          <w:sz w:val="24"/>
          <w:lang w:bidi="ar"/>
        </w:rPr>
        <w:t xml:space="preserve">。</w:t>
      </w:r>
      <w:r>
        <w:rPr>
          <w:rFonts w:ascii="宋体" w:hAnsi="宋体" w:cs="宋体"/>
          <w:sz w:val="24"/>
          <w:lang w:bidi="ar"/>
        </w:rPr>
        <w:t xml:space="preserve"> </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1.</w:t>
      </w:r>
      <w:r>
        <w:rPr>
          <w:rFonts w:hint="eastAsia" w:ascii="宋体" w:hAnsi="宋体" w:cs="宋体"/>
          <w:b/>
          <w:sz w:val="24"/>
        </w:rPr>
        <w:t xml:space="preserve">渗透测试</w:t>
      </w:r>
      <w:r/>
    </w:p>
    <w:p>
      <w:pPr>
        <w:ind w:firstLine="482"/>
        <w:jc w:val="left"/>
        <w:spacing w:line="240" w:lineRule="auto"/>
        <w:rPr>
          <w:rFonts w:hint="eastAsia" w:ascii="宋体" w:hAnsi="宋体" w:cs="宋体"/>
          <w:b/>
          <w:sz w:val="24"/>
        </w:rPr>
      </w:pPr>
      <w:r>
        <w:rPr>
          <w:rFonts w:hint="eastAsia" w:ascii="宋体" w:hAnsi="宋体" w:cs="宋体"/>
          <w:b/>
          <w:sz w:val="24"/>
        </w:rPr>
        <w:t xml:space="preserve">服务描述</w:t>
      </w:r>
      <w:r/>
    </w:p>
    <w:p>
      <w:pPr>
        <w:ind w:firstLine="480"/>
        <w:spacing w:line="240" w:lineRule="auto"/>
        <w:rPr>
          <w:rFonts w:hint="eastAsia" w:ascii="宋体" w:hAnsi="宋体" w:cs="宋体"/>
          <w:sz w:val="24"/>
        </w:rPr>
      </w:pPr>
      <w:r>
        <w:rPr>
          <w:rFonts w:hint="eastAsia" w:ascii="宋体" w:hAnsi="宋体" w:cs="宋体"/>
          <w:sz w:val="24"/>
        </w:rPr>
        <w:t xml:space="preserve">渗透测试工程师模拟黑客可能使用的攻击技术和漏洞发现技术，对目标网络、主机、应用的安全作深入的探测，发现系统最脆弱的环节。通过渗透测试深入挖掘逻辑漏洞、源码泄露、弱口令等需要人工参与的漏洞，能够发现较多深层次的安全问题。服务期内不少于1次。</w:t>
      </w:r>
      <w:r/>
    </w:p>
    <w:p>
      <w:pPr>
        <w:ind w:firstLine="482"/>
        <w:jc w:val="left"/>
        <w:spacing w:line="240" w:lineRule="auto"/>
        <w:rPr>
          <w:rFonts w:hint="eastAsia" w:ascii="宋体" w:hAnsi="宋体" w:cs="宋体"/>
          <w:sz w:val="24"/>
        </w:rPr>
      </w:pPr>
      <w:r>
        <w:rPr>
          <w:rFonts w:hint="eastAsia" w:ascii="宋体" w:hAnsi="宋体" w:cs="宋体"/>
          <w:b/>
          <w:sz w:val="24"/>
        </w:rPr>
        <w:t xml:space="preserve">服务成效：</w:t>
      </w:r>
      <w:r>
        <w:rPr>
          <w:rFonts w:hint="eastAsia" w:ascii="宋体" w:hAnsi="宋体" w:cs="宋体"/>
          <w:sz w:val="24"/>
        </w:rPr>
        <w:t xml:space="preserve">帮助采购人了解信息系统安全风险现状，检验采购人信息系统的安全性，针对渗透成果获得有效处理方案，防止系统入侵安全隐患再次被黑客利用。</w:t>
      </w:r>
      <w:r/>
    </w:p>
    <w:p>
      <w:pPr>
        <w:ind w:firstLine="420"/>
        <w:jc w:val="left"/>
        <w:spacing w:line="240" w:lineRule="auto"/>
        <w:rPr>
          <w:rFonts w:hint="eastAsia" w:ascii="宋体" w:hAnsi="宋体" w:cs="宋体"/>
          <w:b/>
          <w:sz w:val="24"/>
        </w:rPr>
      </w:pPr>
      <w:r>
        <w:rPr>
          <w:rFonts w:hint="eastAsia" w:ascii="宋体" w:hAnsi="宋体" w:cs="宋体"/>
          <w:b/>
          <w:sz w:val="24"/>
        </w:rPr>
        <w:t xml:space="preserve">交付清单：《漏洞监测报告》和《复测报告》</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2.重保防守</w:t>
      </w:r>
      <w:r/>
    </w:p>
    <w:p>
      <w:pPr>
        <w:ind w:firstLine="480"/>
        <w:spacing w:line="240" w:lineRule="auto"/>
        <w:rPr>
          <w:rFonts w:hint="eastAsia" w:ascii="宋体" w:hAnsi="宋体" w:cs="宋体"/>
          <w:sz w:val="24"/>
        </w:rPr>
      </w:pPr>
      <w:r>
        <w:rPr>
          <w:rFonts w:hint="eastAsia" w:ascii="宋体" w:hAnsi="宋体" w:cs="宋体"/>
          <w:sz w:val="24"/>
        </w:rPr>
        <w:t xml:space="preserve">网安行动、重要节日和活动等时期，组建重保防守支撑团队，提供7*24小时值守服务，并派驻安全专家现场服务，依托安全管理平台，及时有效拦截各类攻击，提升重要时期的安全等级。</w:t>
      </w:r>
      <w:r/>
    </w:p>
    <w:p>
      <w:pPr>
        <w:ind w:firstLine="482"/>
        <w:spacing w:line="240" w:lineRule="auto"/>
        <w:rPr>
          <w:rFonts w:hint="eastAsia" w:ascii="宋体" w:hAnsi="宋体" w:cs="宋体"/>
          <w:b/>
          <w:sz w:val="24"/>
        </w:rPr>
      </w:pPr>
      <w:r>
        <w:rPr>
          <w:rFonts w:hint="eastAsia" w:ascii="宋体" w:hAnsi="宋体" w:cs="宋体"/>
          <w:b/>
          <w:sz w:val="24"/>
        </w:rPr>
        <w:t xml:space="preserve">服务范围</w:t>
      </w:r>
      <w:r/>
    </w:p>
    <w:p>
      <w:pPr>
        <w:ind w:firstLine="480"/>
        <w:spacing w:line="240" w:lineRule="auto"/>
        <w:rPr>
          <w:rFonts w:hint="eastAsia" w:ascii="宋体" w:hAnsi="宋体" w:cs="宋体"/>
          <w:sz w:val="24"/>
        </w:rPr>
      </w:pPr>
      <w:r>
        <w:rPr>
          <w:rFonts w:hint="eastAsia" w:ascii="宋体" w:hAnsi="宋体" w:cs="宋体"/>
          <w:sz w:val="24"/>
        </w:rPr>
        <w:t xml:space="preserve">重要时期安全保障服务主要针对重要IT系统资产、包括主机、网络、应用等系统运行维护场景。针对互联网IT服务业务、IT资产为服务对象。</w:t>
      </w:r>
      <w:r/>
    </w:p>
    <w:p>
      <w:pPr>
        <w:ind w:firstLine="482"/>
        <w:spacing w:line="240" w:lineRule="auto"/>
        <w:rPr>
          <w:rFonts w:hint="eastAsia" w:ascii="宋体" w:hAnsi="宋体" w:cs="宋体"/>
          <w:b/>
          <w:sz w:val="24"/>
        </w:rPr>
      </w:pPr>
      <w:r>
        <w:rPr>
          <w:rFonts w:hint="eastAsia" w:ascii="宋体" w:hAnsi="宋体" w:cs="宋体"/>
          <w:b/>
          <w:sz w:val="24"/>
        </w:rPr>
        <w:t xml:space="preserve">服务方式</w:t>
      </w:r>
      <w:r/>
    </w:p>
    <w:p>
      <w:pPr>
        <w:ind w:firstLine="480"/>
        <w:spacing w:line="240" w:lineRule="auto"/>
        <w:rPr>
          <w:rFonts w:hint="eastAsia" w:ascii="宋体" w:hAnsi="宋体" w:cs="宋体"/>
          <w:sz w:val="24"/>
        </w:rPr>
      </w:pPr>
      <w:r>
        <w:rPr>
          <w:rFonts w:hint="eastAsia" w:ascii="宋体" w:hAnsi="宋体" w:cs="宋体"/>
          <w:sz w:val="24"/>
        </w:rPr>
        <w:t xml:space="preserve">重要时期安全保障服务需提供现场服务和非现场服务两种形式。根据具体的服务内容，</w:t>
      </w:r>
      <w:r/>
    </w:p>
    <w:p>
      <w:pPr>
        <w:ind w:firstLine="480"/>
        <w:spacing w:line="240" w:lineRule="auto"/>
        <w:rPr>
          <w:rFonts w:hint="eastAsia" w:ascii="宋体" w:hAnsi="宋体" w:cs="宋体"/>
          <w:sz w:val="24"/>
        </w:rPr>
      </w:pPr>
      <w:r>
        <w:rPr>
          <w:rFonts w:hint="eastAsia" w:ascii="宋体" w:hAnsi="宋体" w:cs="宋体"/>
          <w:sz w:val="24"/>
        </w:rPr>
        <w:t xml:space="preserve">现场服务包括下列内容：安全漏洞扫描、主机安全检查、安全值守服务、安全日志分析、应急响应服务。</w:t>
      </w:r>
      <w:r/>
    </w:p>
    <w:p>
      <w:pPr>
        <w:ind w:firstLine="480"/>
        <w:spacing w:line="240" w:lineRule="auto"/>
        <w:rPr>
          <w:rFonts w:hint="eastAsia" w:ascii="宋体" w:hAnsi="宋体" w:cs="宋体"/>
          <w:sz w:val="24"/>
        </w:rPr>
      </w:pPr>
      <w:r>
        <w:rPr>
          <w:rFonts w:hint="eastAsia" w:ascii="宋体" w:hAnsi="宋体" w:cs="宋体"/>
          <w:sz w:val="24"/>
        </w:rPr>
        <w:t xml:space="preserve">非现场服务包括下列内容：信息安全通告、信息安全咨询、对外服务检查、</w:t>
      </w:r>
      <w:r>
        <w:rPr>
          <w:rFonts w:ascii="宋体" w:hAnsi="宋体" w:cs="宋体"/>
          <w:sz w:val="24"/>
        </w:rPr>
        <w:t xml:space="preserve">Web</w:t>
      </w:r>
      <w:r>
        <w:rPr>
          <w:rFonts w:hint="eastAsia" w:ascii="宋体" w:hAnsi="宋体" w:cs="宋体"/>
          <w:sz w:val="24"/>
        </w:rPr>
        <w:t xml:space="preserve">站点渗透测试、网站安全监测服务。</w:t>
      </w:r>
      <w:r/>
    </w:p>
    <w:p>
      <w:pPr>
        <w:ind w:firstLine="482"/>
        <w:spacing w:line="240" w:lineRule="auto"/>
        <w:rPr>
          <w:rFonts w:hint="eastAsia" w:ascii="宋体" w:hAnsi="宋体" w:cs="宋体"/>
          <w:b/>
          <w:sz w:val="24"/>
        </w:rPr>
      </w:pPr>
      <w:r>
        <w:rPr>
          <w:rFonts w:hint="eastAsia" w:ascii="宋体" w:hAnsi="宋体" w:cs="宋体"/>
          <w:b/>
          <w:sz w:val="24"/>
        </w:rPr>
        <w:t xml:space="preserve">交付清单：《重保防守报告》</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3.攻防演练</w:t>
      </w:r>
      <w:r/>
    </w:p>
    <w:p>
      <w:pPr>
        <w:ind w:firstLine="482"/>
        <w:jc w:val="left"/>
        <w:spacing w:line="240" w:lineRule="auto"/>
        <w:rPr>
          <w:rFonts w:hint="eastAsia" w:ascii="宋体" w:hAnsi="宋体" w:cs="仿宋_GB2312"/>
          <w:b/>
          <w:sz w:val="24"/>
        </w:rPr>
      </w:pPr>
      <w:r>
        <w:rPr>
          <w:rFonts w:ascii="宋体" w:hAnsi="宋体" w:cs="仿宋_GB2312"/>
          <w:b/>
          <w:sz w:val="24"/>
        </w:rPr>
        <w:t xml:space="preserve">服务描述</w:t>
      </w:r>
      <w:r/>
    </w:p>
    <w:p>
      <w:pPr>
        <w:ind w:firstLine="480"/>
        <w:jc w:val="left"/>
        <w:spacing w:line="240" w:lineRule="auto"/>
        <w:rPr>
          <w:rFonts w:hint="eastAsia" w:ascii="宋体" w:hAnsi="宋体" w:cs="仿宋_GB2312"/>
          <w:sz w:val="24"/>
        </w:rPr>
      </w:pPr>
      <w:r>
        <w:rPr>
          <w:rFonts w:hint="eastAsia" w:ascii="宋体" w:hAnsi="宋体" w:cs="仿宋_GB2312"/>
          <w:sz w:val="24"/>
        </w:rPr>
        <w:t xml:space="preserve">依据《</w:t>
      </w:r>
      <w:r>
        <w:rPr>
          <w:rFonts w:ascii="宋体" w:hAnsi="宋体" w:cs="仿宋_GB2312"/>
          <w:sz w:val="24"/>
        </w:rPr>
        <w:t xml:space="preserve">GB/T30283—2022信息安全技术信息安全服务分类与代码》标准规范10.8章节和《GB/T38645—2020信息安全技术网络安全事件应急演练指南》等规范要求，在真实网络环境下对参演单位目标系统进行全程可控、可审计的实战攻击，通过演练检验参演单位的安全防护和应急处置能力，提高网络安全的综合防控能力，杜绝因攻防演练引入新的风险。</w:t>
      </w:r>
      <w:r>
        <w:rPr>
          <w:rFonts w:hint="eastAsia" w:ascii="宋体" w:hAnsi="宋体" w:cs="宋体"/>
          <w:sz w:val="24"/>
        </w:rPr>
        <w:t xml:space="preserve">服务期内不少于1次。</w:t>
      </w:r>
      <w:r/>
    </w:p>
    <w:p>
      <w:pPr>
        <w:ind w:firstLine="482"/>
        <w:jc w:val="left"/>
        <w:spacing w:line="240" w:lineRule="auto"/>
        <w:rPr>
          <w:rFonts w:hint="eastAsia" w:ascii="宋体" w:hAnsi="宋体" w:cs="仿宋_GB2312"/>
          <w:sz w:val="24"/>
        </w:rPr>
      </w:pPr>
      <w:r>
        <w:rPr>
          <w:rFonts w:ascii="宋体" w:hAnsi="宋体" w:cs="仿宋_GB2312"/>
          <w:b/>
          <w:sz w:val="24"/>
        </w:rPr>
        <w:t xml:space="preserve">服务成效</w:t>
      </w:r>
      <w:r>
        <w:rPr>
          <w:rFonts w:hint="eastAsia" w:ascii="宋体" w:hAnsi="宋体" w:cs="仿宋_GB2312"/>
          <w:b/>
          <w:sz w:val="24"/>
        </w:rPr>
        <w:t xml:space="preserve">：</w:t>
      </w:r>
      <w:r>
        <w:rPr>
          <w:rFonts w:ascii="宋体" w:hAnsi="宋体" w:cs="仿宋_GB2312"/>
          <w:sz w:val="24"/>
        </w:rPr>
        <w:t xml:space="preserve">以贴近实战的安全技术模拟黑客攻击，让采购人深入了解掌握安全业界的安全漏洞的成因、漏洞利用、漏洞的防御方法，提升安全技能与安全防护能力。</w:t>
      </w:r>
      <w:r/>
    </w:p>
    <w:p>
      <w:pPr>
        <w:ind w:firstLine="482"/>
        <w:jc w:val="left"/>
        <w:spacing w:line="240" w:lineRule="auto"/>
        <w:rPr>
          <w:rFonts w:hint="eastAsia" w:ascii="宋体" w:hAnsi="宋体" w:cs="仿宋_GB2312"/>
          <w:b/>
          <w:sz w:val="24"/>
        </w:rPr>
      </w:pPr>
      <w:r>
        <w:rPr>
          <w:rFonts w:ascii="宋体" w:hAnsi="宋体" w:cs="仿宋_GB2312"/>
          <w:b/>
          <w:sz w:val="24"/>
        </w:rPr>
        <w:t xml:space="preserve">交付清单：《漏洞报告》和《攻防演练复盘总结报告》</w:t>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4.W</w:t>
      </w:r>
      <w:r>
        <w:rPr>
          <w:rFonts w:ascii="宋体" w:hAnsi="宋体" w:cs="宋体"/>
          <w:b/>
          <w:sz w:val="24"/>
          <w:lang w:bidi="ar"/>
        </w:rPr>
        <w:t xml:space="preserve">eb</w:t>
      </w:r>
      <w:r>
        <w:rPr>
          <w:rFonts w:hint="eastAsia" w:ascii="宋体" w:hAnsi="宋体" w:cs="宋体"/>
          <w:b/>
          <w:sz w:val="24"/>
          <w:lang w:bidi="ar"/>
        </w:rPr>
        <w:t xml:space="preserve">应用防护系统</w:t>
      </w:r>
      <w:r/>
    </w:p>
    <w:p>
      <w:pPr>
        <w:ind w:firstLine="480"/>
        <w:jc w:val="left"/>
        <w:spacing w:line="240" w:lineRule="auto"/>
        <w:rPr>
          <w:rFonts w:hint="eastAsia" w:ascii="宋体" w:hAnsi="宋体" w:cs="仿宋_GB2312"/>
          <w:sz w:val="24"/>
        </w:rPr>
      </w:pPr>
      <w:r>
        <w:rPr>
          <w:rFonts w:hint="eastAsia" w:ascii="宋体" w:hAnsi="宋体" w:cs="仿宋_GB2312"/>
          <w:sz w:val="24"/>
        </w:rPr>
        <w:t xml:space="preserve">帮助云用户应对 Web 攻击、入侵、漏洞利用、挂马、篡改、后门、爬虫、域名劫持等网站及 Web 业务安全防护问题。提供至少2</w:t>
      </w:r>
      <w:r>
        <w:rPr>
          <w:rFonts w:ascii="宋体" w:hAnsi="宋体" w:cs="仿宋_GB2312"/>
          <w:sz w:val="24"/>
        </w:rPr>
        <w:t xml:space="preserve">0</w:t>
      </w:r>
      <w:r>
        <w:rPr>
          <w:rFonts w:hint="eastAsia" w:ascii="宋体" w:hAnsi="宋体" w:cs="仿宋_GB2312"/>
          <w:sz w:val="24"/>
        </w:rPr>
        <w:t xml:space="preserve">个端口服务。</w:t>
      </w:r>
      <w:r/>
    </w:p>
    <w:p>
      <w:pPr>
        <w:ind w:firstLine="482"/>
        <w:jc w:val="left"/>
        <w:spacing w:line="240" w:lineRule="auto"/>
        <w:rPr>
          <w:rFonts w:hint="eastAsia" w:ascii="宋体" w:hAnsi="宋体" w:cs="仿宋_GB2312"/>
          <w:b/>
          <w:sz w:val="24"/>
        </w:rPr>
      </w:pPr>
      <w:r>
        <w:rPr>
          <w:rFonts w:ascii="宋体" w:hAnsi="宋体" w:cs="仿宋_GB2312"/>
          <w:b/>
          <w:sz w:val="24"/>
        </w:rPr>
        <w:t xml:space="preserve">交付清单：《</w:t>
      </w:r>
      <w:r>
        <w:rPr>
          <w:rFonts w:hint="eastAsia" w:ascii="宋体" w:hAnsi="宋体" w:cs="仿宋_GB2312"/>
          <w:b/>
          <w:sz w:val="24"/>
        </w:rPr>
        <w:t xml:space="preserve">网站监测分析月报</w:t>
      </w:r>
      <w:r>
        <w:rPr>
          <w:rFonts w:ascii="宋体" w:hAnsi="宋体" w:cs="仿宋_GB2312"/>
          <w:b/>
          <w:sz w:val="24"/>
        </w:rPr>
        <w:t xml:space="preserve">》</w:t>
      </w:r>
      <w:r/>
    </w:p>
    <w:p>
      <w:pPr>
        <w:ind w:firstLine="482"/>
        <w:jc w:val="left"/>
        <w:spacing w:line="240" w:lineRule="auto"/>
        <w:rPr>
          <w:rFonts w:hint="eastAsia" w:ascii="宋体" w:hAnsi="宋体" w:cs="仿宋_GB2312"/>
          <w:b/>
          <w:sz w:val="24"/>
        </w:rPr>
      </w:pPr>
      <w:r>
        <w:rPr>
          <w:rFonts w:hint="eastAsia" w:ascii="宋体" w:hAnsi="宋体" w:cs="仿宋_GB2312"/>
          <w:b/>
          <w:sz w:val="24"/>
        </w:rPr>
        <w:t xml:space="preserve">5.主动防御和监测潜在的网络攻击</w:t>
      </w:r>
      <w:r/>
    </w:p>
    <w:p>
      <w:pPr>
        <w:ind w:firstLine="480"/>
        <w:jc w:val="left"/>
        <w:spacing w:line="240" w:lineRule="auto"/>
        <w:rPr>
          <w:rFonts w:hint="eastAsia" w:ascii="宋体" w:hAnsi="宋体" w:cs="仿宋_GB2312"/>
          <w:sz w:val="24"/>
        </w:rPr>
      </w:pPr>
      <w:r>
        <w:rPr>
          <w:rFonts w:hint="eastAsia" w:ascii="宋体" w:hAnsi="宋体" w:cs="仿宋_GB2312"/>
          <w:sz w:val="24"/>
        </w:rPr>
        <w:t xml:space="preserve">通过模拟一个或多个易受攻击的主机和服务，来吸引和诱骗那些试图非法闯入他人计算机系统的人对它实施攻击。</w:t>
      </w:r>
      <w:r/>
    </w:p>
    <w:p>
      <w:pPr>
        <w:ind w:firstLine="482"/>
        <w:jc w:val="left"/>
        <w:spacing w:line="240" w:lineRule="auto"/>
        <w:rPr>
          <w:rFonts w:hint="eastAsia" w:ascii="宋体" w:hAnsi="宋体" w:cs="仿宋_GB2312"/>
          <w:b/>
          <w:sz w:val="24"/>
        </w:rPr>
      </w:pPr>
      <w:r>
        <w:rPr>
          <w:rFonts w:ascii="宋体" w:hAnsi="宋体" w:cs="仿宋_GB2312"/>
          <w:b/>
          <w:sz w:val="24"/>
        </w:rPr>
        <w:t xml:space="preserve">交付清单：《</w:t>
      </w:r>
      <w:r>
        <w:rPr>
          <w:rFonts w:hint="eastAsia" w:ascii="宋体" w:hAnsi="宋体" w:cs="仿宋_GB2312"/>
          <w:b/>
          <w:sz w:val="24"/>
        </w:rPr>
        <w:t xml:space="preserve">业务防护月报告</w:t>
      </w:r>
      <w:r>
        <w:rPr>
          <w:rFonts w:ascii="宋体" w:hAnsi="宋体" w:cs="仿宋_GB2312"/>
          <w:b/>
          <w:sz w:val="24"/>
        </w:rPr>
        <w:t xml:space="preserve">》</w:t>
      </w:r>
      <w:r/>
    </w:p>
    <w:p>
      <w:pPr>
        <w:ind w:firstLine="482"/>
        <w:jc w:val="left"/>
        <w:spacing w:line="240" w:lineRule="auto"/>
        <w:rPr>
          <w:rFonts w:hint="eastAsia" w:ascii="宋体" w:hAnsi="宋体" w:cs="仿宋_GB2312"/>
          <w:b/>
          <w:sz w:val="24"/>
        </w:rPr>
      </w:pPr>
      <w:r>
        <w:rPr>
          <w:rFonts w:hint="eastAsia" w:ascii="宋体" w:hAnsi="宋体" w:cs="仿宋_GB2312"/>
          <w:b/>
          <w:sz w:val="24"/>
        </w:rPr>
        <w:t xml:space="preserve">6.API综合治理</w:t>
      </w:r>
      <w:r/>
    </w:p>
    <w:p>
      <w:pPr>
        <w:ind w:firstLine="480"/>
        <w:jc w:val="left"/>
        <w:spacing w:line="240" w:lineRule="auto"/>
        <w:rPr>
          <w:rFonts w:hint="eastAsia" w:ascii="宋体" w:hAnsi="宋体" w:cs="仿宋_GB2312"/>
          <w:sz w:val="24"/>
          <w:lang w:val="en"/>
        </w:rPr>
      </w:pPr>
      <w:r>
        <w:rPr>
          <w:rFonts w:hint="eastAsia" w:ascii="宋体" w:hAnsi="宋体" w:cs="仿宋_GB2312"/>
          <w:sz w:val="24"/>
        </w:rPr>
        <w:t xml:space="preserve">API综合治理指的是一组策略、过程和实践，组织采用这些策略、过程和实践来确保对其应用程序编程接口（API）的有效管理和控制。设计良好的API治理框架可以帮助组织建立开发、部署和管理API的指导方针和优秀实践。</w:t>
      </w:r>
      <w:r>
        <w:rPr>
          <w:rFonts w:hint="eastAsia" w:ascii="宋体" w:hAnsi="宋体" w:cs="宋体"/>
          <w:sz w:val="24"/>
        </w:rPr>
        <w:t xml:space="preserve">服务期内不少于1次。</w:t>
      </w:r>
      <w:r/>
    </w:p>
    <w:p>
      <w:pPr>
        <w:ind w:firstLine="482"/>
        <w:jc w:val="left"/>
        <w:spacing w:line="240" w:lineRule="auto"/>
        <w:rPr>
          <w:rFonts w:hint="eastAsia" w:ascii="宋体" w:hAnsi="宋体" w:cs="仿宋_GB2312"/>
          <w:b/>
          <w:sz w:val="24"/>
        </w:rPr>
      </w:pPr>
      <w:r>
        <w:rPr>
          <w:rFonts w:ascii="宋体" w:hAnsi="宋体" w:cs="仿宋_GB2312"/>
          <w:b/>
          <w:sz w:val="24"/>
        </w:rPr>
        <w:t xml:space="preserve">交付清单：《</w:t>
      </w:r>
      <w:r>
        <w:rPr>
          <w:rFonts w:hint="eastAsia" w:ascii="宋体" w:hAnsi="宋体" w:cs="仿宋_GB2312"/>
          <w:b/>
          <w:sz w:val="24"/>
        </w:rPr>
        <w:t xml:space="preserve">API外网暴露路径报告</w:t>
      </w:r>
      <w:r>
        <w:rPr>
          <w:rFonts w:ascii="宋体" w:hAnsi="宋体" w:cs="仿宋_GB2312"/>
          <w:b/>
          <w:sz w:val="24"/>
        </w:rPr>
        <w:t xml:space="preserve">》</w:t>
      </w:r>
      <w:r/>
    </w:p>
    <w:p>
      <w:pPr>
        <w:ind w:firstLine="482"/>
        <w:jc w:val="left"/>
        <w:spacing w:line="240" w:lineRule="auto"/>
        <w:rPr>
          <w:rFonts w:hint="eastAsia" w:ascii="宋体" w:hAnsi="宋体" w:cs="仿宋_GB2312"/>
          <w:b/>
          <w:sz w:val="24"/>
        </w:rPr>
      </w:pPr>
      <w:r>
        <w:rPr>
          <w:rFonts w:hint="eastAsia" w:ascii="宋体" w:hAnsi="宋体" w:cs="仿宋_GB2312"/>
          <w:b/>
          <w:sz w:val="24"/>
        </w:rPr>
        <w:t xml:space="preserve">7.网络安全工作责任制考核材料上报</w:t>
      </w:r>
      <w:r/>
    </w:p>
    <w:p>
      <w:pPr>
        <w:ind w:firstLine="480"/>
        <w:spacing w:line="240" w:lineRule="auto"/>
        <w:rPr>
          <w:rFonts w:hint="eastAsia" w:ascii="宋体" w:hAnsi="宋体" w:cs="宋体"/>
          <w:sz w:val="24"/>
        </w:rPr>
      </w:pPr>
      <w:r>
        <w:rPr>
          <w:rFonts w:hint="eastAsia" w:ascii="宋体" w:hAnsi="宋体" w:cs="宋体"/>
          <w:sz w:val="24"/>
        </w:rPr>
        <w:t xml:space="preserve">协助采购人开展年度网络安全工作责任制考核材料上报，所有材料提交均满足市委网信办网络安全工作责任制考核指标。</w:t>
      </w:r>
      <w:r/>
    </w:p>
    <w:p>
      <w:pPr>
        <w:ind w:firstLine="482"/>
        <w:jc w:val="left"/>
        <w:spacing w:line="240" w:lineRule="auto"/>
        <w:rPr>
          <w:rFonts w:hint="eastAsia" w:ascii="宋体" w:hAnsi="宋体" w:cs="仿宋_GB2312"/>
          <w:b/>
          <w:sz w:val="24"/>
        </w:rPr>
      </w:pPr>
      <w:r>
        <w:rPr>
          <w:rFonts w:hint="eastAsia" w:ascii="宋体" w:hAnsi="宋体" w:cs="仿宋_GB2312"/>
          <w:b/>
          <w:sz w:val="24"/>
        </w:rPr>
        <w:t xml:space="preserve">8.其他</w:t>
      </w:r>
      <w:r/>
    </w:p>
    <w:p>
      <w:pPr>
        <w:ind w:firstLine="480"/>
        <w:spacing w:line="240" w:lineRule="auto"/>
        <w:rPr>
          <w:rFonts w:hint="eastAsia" w:ascii="宋体" w:hAnsi="宋体" w:cs="宋体"/>
          <w:sz w:val="24"/>
          <w:lang w:bidi="ar"/>
        </w:rPr>
      </w:pPr>
      <w:r>
        <w:rPr>
          <w:rFonts w:hint="eastAsia" w:ascii="宋体" w:hAnsi="宋体" w:cs="宋体"/>
          <w:sz w:val="24"/>
          <w:lang w:bidi="ar"/>
        </w:rPr>
        <w:t xml:space="preserve">提供应急培训、安全培训、安全咨询等服务。</w:t>
      </w:r>
      <w:r/>
    </w:p>
    <w:p>
      <w:pPr>
        <w:ind w:firstLine="482"/>
        <w:spacing w:line="240" w:lineRule="auto"/>
        <w:rPr>
          <w:rFonts w:hint="eastAsia" w:ascii="宋体" w:hAnsi="宋体" w:cs="宋体"/>
          <w:b/>
          <w:sz w:val="24"/>
          <w:lang w:bidi="ar"/>
        </w:rPr>
      </w:pPr>
      <w:r>
        <w:rPr>
          <w:rFonts w:hint="eastAsia" w:ascii="宋体" w:hAnsi="宋体" w:cs="宋体"/>
          <w:b/>
          <w:sz w:val="24"/>
          <w:lang w:bidi="ar"/>
        </w:rPr>
      </w:r>
      <w:r/>
    </w:p>
    <w:p>
      <w:pPr>
        <w:ind w:firstLine="482"/>
        <w:spacing w:line="240" w:lineRule="auto"/>
        <w:rPr>
          <w:rFonts w:hint="eastAsia" w:ascii="宋体" w:hAnsi="宋体" w:cs="宋体"/>
          <w:b/>
          <w:sz w:val="24"/>
          <w:lang w:bidi="ar"/>
        </w:rPr>
      </w:pPr>
      <w:r>
        <w:rPr>
          <w:rFonts w:hint="eastAsia" w:ascii="宋体" w:hAnsi="宋体" w:cs="宋体"/>
          <w:b/>
          <w:sz w:val="24"/>
          <w:lang w:bidi="ar"/>
        </w:rPr>
        <w:t xml:space="preserve">2.3</w:t>
      </w:r>
      <w:r>
        <w:rPr>
          <w:rFonts w:ascii="宋体" w:hAnsi="宋体" w:cs="宋体"/>
          <w:b/>
          <w:sz w:val="24"/>
          <w:lang w:bidi="ar"/>
        </w:rPr>
        <w:t xml:space="preserve">.</w:t>
      </w:r>
      <w:r>
        <w:rPr>
          <w:rFonts w:hint="eastAsia" w:ascii="宋体" w:hAnsi="宋体" w:cs="宋体"/>
          <w:b/>
          <w:sz w:val="24"/>
          <w:lang w:bidi="ar"/>
        </w:rPr>
        <w:t xml:space="preserve">4</w:t>
      </w:r>
      <w:r>
        <w:rPr>
          <w:rFonts w:ascii="宋体" w:hAnsi="宋体" w:cs="宋体"/>
          <w:b/>
          <w:sz w:val="24"/>
          <w:lang w:bidi="ar"/>
        </w:rPr>
        <w:t xml:space="preserve"> </w:t>
      </w:r>
      <w:r>
        <w:rPr>
          <w:rFonts w:hint="eastAsia" w:ascii="宋体" w:hAnsi="宋体" w:cs="宋体"/>
          <w:b/>
          <w:sz w:val="24"/>
          <w:lang w:bidi="ar"/>
        </w:rPr>
        <w:t xml:space="preserve">网</w:t>
      </w:r>
      <w:r>
        <w:rPr>
          <w:rFonts w:ascii="宋体" w:hAnsi="宋体" w:cs="宋体"/>
          <w:b/>
          <w:sz w:val="24"/>
          <w:lang w:bidi="ar"/>
        </w:rPr>
        <w:t xml:space="preserve">络</w:t>
      </w:r>
      <w:r>
        <w:rPr>
          <w:rFonts w:hint="eastAsia" w:ascii="宋体" w:hAnsi="宋体" w:cs="宋体"/>
          <w:b/>
          <w:sz w:val="24"/>
          <w:lang w:bidi="ar"/>
        </w:rPr>
        <w:t xml:space="preserve">线</w:t>
      </w:r>
      <w:r>
        <w:rPr>
          <w:rFonts w:ascii="宋体" w:hAnsi="宋体" w:cs="宋体"/>
          <w:b/>
          <w:sz w:val="24"/>
          <w:lang w:bidi="ar"/>
        </w:rPr>
        <w:t xml:space="preserve">路</w:t>
      </w:r>
      <w:r>
        <w:rPr>
          <w:rFonts w:hint="eastAsia" w:ascii="宋体" w:hAnsi="宋体" w:cs="宋体"/>
          <w:b/>
          <w:sz w:val="24"/>
          <w:lang w:bidi="ar"/>
        </w:rPr>
        <w:t xml:space="preserve">资源</w:t>
      </w:r>
      <w:r>
        <w:rPr>
          <w:rFonts w:ascii="宋体" w:hAnsi="宋体" w:cs="宋体"/>
          <w:b/>
          <w:sz w:val="24"/>
          <w:lang w:bidi="ar"/>
        </w:rPr>
        <w:t xml:space="preserve">租用</w:t>
      </w:r>
      <w:r/>
    </w:p>
    <w:p>
      <w:pPr>
        <w:contextualSpacing/>
        <w:ind w:firstLine="480"/>
        <w:jc w:val="left"/>
        <w:spacing w:line="240" w:lineRule="auto"/>
        <w:rPr>
          <w:rFonts w:hint="eastAsia" w:ascii="宋体" w:hAnsi="宋体" w:cs="宋体"/>
          <w:sz w:val="24"/>
          <w:lang w:bidi="ar"/>
        </w:rPr>
      </w:pPr>
      <w:r>
        <w:rPr>
          <w:rFonts w:hint="eastAsia" w:ascii="宋体" w:hAnsi="宋体" w:cs="宋体"/>
          <w:sz w:val="24"/>
          <w:lang w:bidi="ar"/>
        </w:rPr>
        <w:t xml:space="preserve">1、常州市应急管理综合行政执法监督局办公网络（100M电子政务外网接入）；</w:t>
      </w:r>
      <w:r/>
    </w:p>
    <w:p>
      <w:pPr>
        <w:contextualSpacing/>
        <w:ind w:firstLine="480"/>
        <w:jc w:val="left"/>
        <w:spacing w:line="240" w:lineRule="auto"/>
        <w:rPr>
          <w:rFonts w:hint="eastAsia" w:ascii="宋体" w:hAnsi="宋体" w:cs="宋体"/>
          <w:sz w:val="24"/>
          <w:lang w:bidi="ar"/>
        </w:rPr>
      </w:pPr>
      <w:r>
        <w:rPr>
          <w:rFonts w:hint="eastAsia" w:ascii="宋体" w:hAnsi="宋体" w:cs="宋体"/>
          <w:sz w:val="24"/>
          <w:lang w:bidi="ar"/>
        </w:rPr>
        <w:t xml:space="preserve">2、常州市应急管理综合行政执法监督局办公网络（100M互联网接入）；</w:t>
      </w:r>
      <w:r/>
    </w:p>
    <w:p>
      <w:pPr>
        <w:contextualSpacing/>
        <w:ind w:firstLine="480"/>
        <w:jc w:val="left"/>
        <w:spacing w:line="240" w:lineRule="auto"/>
        <w:rPr>
          <w:rFonts w:hint="eastAsia" w:ascii="宋体" w:hAnsi="宋体" w:cs="宋体"/>
          <w:sz w:val="24"/>
          <w:lang w:bidi="ar"/>
        </w:rPr>
      </w:pPr>
      <w:r>
        <w:rPr>
          <w:rFonts w:hint="eastAsia" w:ascii="宋体" w:hAnsi="宋体" w:cs="宋体"/>
          <w:sz w:val="24"/>
          <w:lang w:bidi="ar"/>
        </w:rPr>
        <w:t xml:space="preserve">3、常州市应急视频云平台与局指挥中心视频轮巡线路（100M数字电路）；</w:t>
      </w:r>
      <w:r/>
    </w:p>
    <w:p>
      <w:pPr>
        <w:contextualSpacing/>
        <w:ind w:firstLine="480"/>
        <w:jc w:val="left"/>
        <w:spacing w:line="240" w:lineRule="auto"/>
        <w:rPr>
          <w:rFonts w:hint="eastAsia" w:ascii="宋体" w:hAnsi="宋体" w:cs="宋体"/>
          <w:sz w:val="24"/>
          <w:lang w:bidi="ar"/>
        </w:rPr>
      </w:pPr>
      <w:r>
        <w:rPr>
          <w:rFonts w:hint="eastAsia" w:ascii="宋体" w:hAnsi="宋体" w:cs="宋体"/>
          <w:sz w:val="24"/>
          <w:lang w:bidi="ar"/>
        </w:rPr>
        <w:t xml:space="preserve">4、常州市应急视频云平台与新北区应急视频云台对接线路（100M数字电路）；</w:t>
      </w:r>
      <w:r/>
    </w:p>
    <w:p>
      <w:pPr>
        <w:contextualSpacing/>
        <w:ind w:firstLine="480"/>
        <w:jc w:val="left"/>
        <w:spacing w:line="240" w:lineRule="auto"/>
        <w:rPr>
          <w:rFonts w:hint="eastAsia" w:ascii="宋体" w:hAnsi="宋体" w:cs="宋体"/>
          <w:sz w:val="24"/>
          <w:lang w:bidi="ar"/>
        </w:rPr>
      </w:pPr>
      <w:r>
        <w:rPr>
          <w:rFonts w:hint="eastAsia" w:ascii="宋体" w:hAnsi="宋体" w:cs="宋体"/>
          <w:sz w:val="24"/>
          <w:lang w:bidi="ar"/>
        </w:rPr>
        <w:t xml:space="preserve">5、常州市应急视频云平台公网出口线路（500M互联网接入）；</w:t>
      </w:r>
      <w:r/>
    </w:p>
    <w:p>
      <w:pPr>
        <w:contextualSpacing/>
        <w:ind w:firstLine="480"/>
        <w:jc w:val="left"/>
        <w:spacing w:line="240" w:lineRule="auto"/>
        <w:rPr>
          <w:rFonts w:hint="eastAsia" w:ascii="宋体" w:hAnsi="宋体" w:cs="宋体"/>
          <w:sz w:val="24"/>
          <w:lang w:bidi="ar"/>
        </w:rPr>
      </w:pPr>
      <w:r>
        <w:rPr>
          <w:rFonts w:hint="eastAsia" w:ascii="宋体" w:hAnsi="宋体" w:cs="宋体"/>
          <w:sz w:val="24"/>
          <w:lang w:bidi="ar"/>
        </w:rPr>
        <w:t xml:space="preserve">6、常州市应急视频云平台与“一网统管”视频云平台对接线路（100M电子政务外网）。</w:t>
      </w:r>
      <w:r/>
    </w:p>
    <w:p>
      <w:pPr>
        <w:contextualSpacing/>
        <w:jc w:val="left"/>
        <w:spacing w:line="240" w:lineRule="auto"/>
        <w:rPr>
          <w:rFonts w:hint="eastAsia" w:ascii="宋体" w:hAnsi="宋体" w:cs="宋体"/>
          <w:sz w:val="24"/>
          <w:lang w:bidi="ar"/>
        </w:rPr>
      </w:pPr>
      <w:r>
        <w:rPr>
          <w:rStyle w:val="780"/>
          <w:rFonts w:hint="eastAsia" w:ascii="宋体" w:hAnsi="宋体" w:cs="宋体"/>
          <w:szCs w:val="24"/>
        </w:rPr>
        <mc:AlternateContent>
          <mc:Choice Requires="wpg">
            <w:drawing>
              <wp:inline xmlns:wp="http://schemas.openxmlformats.org/drawingml/2006/wordprocessingDrawing" distT="0" distB="0" distL="0" distR="0">
                <wp:extent cx="5197475" cy="3312160"/>
                <wp:effectExtent l="0" t="0" r="3175" b="2540"/>
                <wp:docPr id="1" name="图片 1" descr="1176998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176998436"/>
                        <pic:cNvPicPr>
                          <a:picLocks noChangeAspect="1"/>
                        </pic:cNvPicPr>
                        <pic:nvPr/>
                      </pic:nvPicPr>
                      <pic:blipFill>
                        <a:blip r:embed="rId13"/>
                        <a:stretch/>
                      </pic:blipFill>
                      <pic:spPr bwMode="auto">
                        <a:xfrm>
                          <a:off x="0" y="0"/>
                          <a:ext cx="5197475" cy="3312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9.2pt;height:260.8pt;mso-wrap-distance-left:0.0pt;mso-wrap-distance-top:0.0pt;mso-wrap-distance-right:0.0pt;mso-wrap-distance-bottom:0.0pt;" stroked="f">
                <v:path textboxrect="0,0,0,0"/>
                <v:imagedata r:id="rId13" o:title=""/>
              </v:shape>
            </w:pict>
          </mc:Fallback>
        </mc:AlternateContent>
      </w:r>
      <w:r/>
    </w:p>
    <w:p>
      <w:pPr>
        <w:pStyle w:val="779"/>
        <w:ind w:firstLine="482"/>
        <w:spacing w:before="0" w:beforeAutospacing="0" w:after="0" w:afterAutospacing="0"/>
        <w:rPr>
          <w:rStyle w:val="780"/>
          <w:rFonts w:hint="eastAsia"/>
        </w:rPr>
      </w:pPr>
      <w:r>
        <w:rPr>
          <w:rFonts w:hint="eastAsia"/>
        </w:rPr>
      </w:r>
      <w:r/>
    </w:p>
    <w:p>
      <w:pPr>
        <w:pStyle w:val="779"/>
        <w:ind w:firstLine="482"/>
        <w:spacing w:beforeAutospacing="0" w:afterAutospacing="0"/>
        <w:rPr>
          <w:rFonts w:ascii="Calibri" w:hAnsi="Calibri" w:cs="Calibri"/>
          <w:sz w:val="21"/>
          <w:szCs w:val="21"/>
        </w:rPr>
      </w:pPr>
      <w:r>
        <w:rPr>
          <w:rStyle w:val="780"/>
          <w:rFonts w:hint="eastAsia"/>
        </w:rPr>
        <w:t xml:space="preserve">2.4 考核办法</w:t>
      </w:r>
      <w:r/>
    </w:p>
    <w:p>
      <w:pPr>
        <w:pStyle w:val="779"/>
        <w:ind w:firstLine="360"/>
        <w:jc w:val="both"/>
        <w:spacing w:beforeAutospacing="0" w:afterAutospacing="0"/>
        <w:rPr>
          <w:rFonts w:ascii="Calibri" w:hAnsi="Calibri" w:cs="Calibri"/>
          <w:sz w:val="21"/>
          <w:szCs w:val="21"/>
        </w:rPr>
      </w:pPr>
      <w:r>
        <w:rPr>
          <w:rFonts w:hint="eastAsia"/>
        </w:rPr>
        <w:t xml:space="preserve">（一）考核内容</w:t>
      </w:r>
      <w:r/>
    </w:p>
    <w:p>
      <w:pPr>
        <w:pStyle w:val="779"/>
        <w:ind w:firstLine="480"/>
        <w:jc w:val="both"/>
        <w:spacing w:beforeAutospacing="0" w:afterAutospacing="0"/>
        <w:rPr>
          <w:rFonts w:ascii="Calibri" w:hAnsi="Calibri" w:cs="Calibri"/>
          <w:sz w:val="21"/>
          <w:szCs w:val="21"/>
        </w:rPr>
      </w:pPr>
      <w:r>
        <w:rPr>
          <w:rFonts w:hint="eastAsia"/>
        </w:rPr>
        <w:t xml:space="preserve">本次服务项目中软件系统运维管理、网络安全技术服务执行考核管理，考核评分实行百分制，详见附件《常州市应急管理局信息化项目运维管理服务评分标准》。</w:t>
      </w:r>
      <w:r/>
    </w:p>
    <w:p>
      <w:pPr>
        <w:pStyle w:val="779"/>
        <w:ind w:firstLine="360"/>
        <w:jc w:val="both"/>
        <w:spacing w:beforeAutospacing="0" w:afterAutospacing="0"/>
        <w:rPr>
          <w:rFonts w:ascii="Calibri" w:hAnsi="Calibri" w:cs="Calibri"/>
          <w:sz w:val="21"/>
          <w:szCs w:val="21"/>
        </w:rPr>
      </w:pPr>
      <w:r>
        <w:rPr>
          <w:rFonts w:hint="eastAsia"/>
        </w:rPr>
        <w:t xml:space="preserve">（二）考核等级</w:t>
      </w:r>
      <w:r/>
    </w:p>
    <w:p>
      <w:pPr>
        <w:pStyle w:val="779"/>
        <w:ind w:firstLine="480"/>
        <w:jc w:val="both"/>
        <w:spacing w:beforeAutospacing="0" w:afterAutospacing="0"/>
        <w:rPr>
          <w:rFonts w:ascii="Calibri" w:hAnsi="Calibri" w:cs="Calibri"/>
          <w:sz w:val="21"/>
          <w:szCs w:val="21"/>
        </w:rPr>
      </w:pPr>
      <w:r>
        <w:rPr>
          <w:rFonts w:hint="eastAsia"/>
        </w:rPr>
        <w:t xml:space="preserve">考核分为优良、良好、合格、不合格4个等级。其中：考核结果90分（含90分）以上的，为优良；考核结果80分（含）-89分（含），为良好；考核结果70分（含）-79（含），为合格；考核结果70分以下的，为不合格。</w:t>
      </w:r>
      <w:r/>
    </w:p>
    <w:p>
      <w:pPr>
        <w:pStyle w:val="779"/>
        <w:ind w:firstLine="360"/>
        <w:jc w:val="both"/>
        <w:spacing w:beforeAutospacing="0" w:afterAutospacing="0"/>
        <w:rPr>
          <w:rFonts w:ascii="Calibri" w:hAnsi="Calibri" w:cs="Calibri"/>
          <w:sz w:val="21"/>
          <w:szCs w:val="21"/>
        </w:rPr>
      </w:pPr>
      <w:r>
        <w:rPr>
          <w:rFonts w:hint="eastAsia"/>
        </w:rPr>
        <w:t xml:space="preserve">（三）考核安排</w:t>
      </w:r>
      <w:r/>
    </w:p>
    <w:p>
      <w:pPr>
        <w:pStyle w:val="779"/>
        <w:ind w:firstLine="480"/>
        <w:jc w:val="both"/>
        <w:spacing w:beforeAutospacing="0" w:afterAutospacing="0"/>
        <w:rPr>
          <w:rFonts w:ascii="Calibri" w:hAnsi="Calibri" w:cs="Calibri"/>
          <w:sz w:val="21"/>
          <w:szCs w:val="21"/>
        </w:rPr>
      </w:pPr>
      <w:r>
        <w:rPr>
          <w:rFonts w:hint="eastAsia"/>
        </w:rPr>
        <w:t xml:space="preserve">合同签订后，项目维护管理服务每实施三个月，由采购方组织考核。考核结果于次月5日前以书面形式通报。</w:t>
      </w:r>
      <w:r/>
    </w:p>
    <w:p>
      <w:pPr>
        <w:pStyle w:val="779"/>
        <w:ind w:firstLine="360"/>
        <w:jc w:val="both"/>
        <w:spacing w:beforeAutospacing="0" w:afterAutospacing="0"/>
        <w:rPr>
          <w:rFonts w:ascii="Calibri" w:hAnsi="Calibri" w:cs="Calibri"/>
          <w:sz w:val="21"/>
          <w:szCs w:val="21"/>
        </w:rPr>
      </w:pPr>
      <w:r>
        <w:rPr>
          <w:rFonts w:hint="eastAsia"/>
        </w:rPr>
        <w:t xml:space="preserve">（四）考核等级和违约金标准</w:t>
      </w:r>
      <w:r/>
    </w:p>
    <w:p>
      <w:pPr>
        <w:pStyle w:val="779"/>
        <w:ind w:firstLine="480"/>
        <w:jc w:val="both"/>
        <w:spacing w:beforeAutospacing="0" w:afterAutospacing="0"/>
        <w:rPr>
          <w:rFonts w:ascii="Calibri" w:hAnsi="Calibri" w:cs="Calibri"/>
          <w:sz w:val="21"/>
          <w:szCs w:val="21"/>
        </w:rPr>
      </w:pPr>
      <w:r>
        <w:rPr>
          <w:rFonts w:hint="eastAsia"/>
        </w:rPr>
        <w:t xml:space="preserve">1、考核为优良的，全额支付考核服务期内服务费用；</w:t>
      </w:r>
      <w:r/>
    </w:p>
    <w:p>
      <w:pPr>
        <w:pStyle w:val="779"/>
        <w:ind w:firstLine="480"/>
        <w:jc w:val="both"/>
        <w:spacing w:beforeAutospacing="0" w:afterAutospacing="0"/>
        <w:rPr>
          <w:rFonts w:ascii="Calibri" w:hAnsi="Calibri" w:cs="Calibri"/>
          <w:sz w:val="21"/>
          <w:szCs w:val="21"/>
        </w:rPr>
      </w:pPr>
      <w:r>
        <w:rPr>
          <w:rFonts w:hint="eastAsia"/>
        </w:rPr>
        <w:t xml:space="preserve">2、考核为良好的，支付考核服务期内服务费用的80%；</w:t>
      </w:r>
      <w:r/>
    </w:p>
    <w:p>
      <w:pPr>
        <w:pStyle w:val="779"/>
        <w:ind w:firstLine="480"/>
        <w:jc w:val="both"/>
        <w:spacing w:beforeAutospacing="0" w:afterAutospacing="0"/>
        <w:rPr>
          <w:rFonts w:ascii="Calibri" w:hAnsi="Calibri" w:cs="Calibri"/>
          <w:sz w:val="21"/>
          <w:szCs w:val="21"/>
        </w:rPr>
      </w:pPr>
      <w:r>
        <w:rPr>
          <w:rFonts w:hint="eastAsia"/>
        </w:rPr>
        <w:t xml:space="preserve">3、考核为合格的，支付考核服务期内服务费用的60%；</w:t>
      </w:r>
      <w:r/>
    </w:p>
    <w:p>
      <w:pPr>
        <w:pStyle w:val="779"/>
        <w:ind w:firstLine="480"/>
        <w:jc w:val="both"/>
        <w:spacing w:beforeAutospacing="0" w:afterAutospacing="0"/>
        <w:rPr>
          <w:rStyle w:val="780"/>
          <w:rFonts w:hint="eastAsia"/>
        </w:rPr>
      </w:pPr>
      <w:r>
        <w:rPr>
          <w:rFonts w:hint="eastAsia"/>
        </w:rPr>
        <w:t xml:space="preserve">4、考核为不合格的，支付考核服务期内服务费用的50%,将终止合同，取消运维资格。</w:t>
      </w:r>
      <w:r/>
    </w:p>
    <w:p>
      <w:pPr>
        <w:pStyle w:val="779"/>
        <w:jc w:val="both"/>
        <w:spacing w:beforeAutospacing="0" w:afterAutospacing="0"/>
        <w:rPr>
          <w:rFonts w:ascii="Calibri" w:hAnsi="Calibri" w:cs="Calibri"/>
          <w:sz w:val="21"/>
          <w:szCs w:val="21"/>
        </w:rPr>
      </w:pPr>
      <w:r>
        <w:rPr>
          <w:rStyle w:val="780"/>
          <w:rFonts w:hint="eastAsia"/>
        </w:rPr>
        <w:t xml:space="preserve">附表：常州市应急管理局信息化项目运维管理服务评分标准</w:t>
      </w:r>
      <w:r/>
    </w:p>
    <w:tbl>
      <w:tblPr>
        <w:tblW w:w="889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747"/>
        <w:gridCol w:w="3608"/>
        <w:gridCol w:w="1340"/>
        <w:gridCol w:w="1268"/>
        <w:gridCol w:w="931"/>
      </w:tblGrid>
      <w:tr>
        <w:trPr>
          <w:jc w:val="center"/>
          <w:trHeight w:val="570"/>
        </w:trPr>
        <w:tc>
          <w:tcPr>
            <w:gridSpan w:val="2"/>
            <w:tcBorders>
              <w:top w:val="single" w:color="auto" w:sz="8" w:space="0"/>
              <w:left w:val="single" w:color="auto" w:sz="8" w:space="0"/>
              <w:bottom w:val="single" w:color="auto" w:sz="8" w:space="0"/>
              <w:right w:val="single" w:color="auto" w:sz="8" w:space="0"/>
            </w:tcBorders>
            <w:tcMar>
              <w:left w:w="108" w:type="dxa"/>
              <w:right w:w="108" w:type="dxa"/>
            </w:tcMar>
            <w:tcW w:w="5355" w:type="dxa"/>
            <w:vAlign w:val="center"/>
            <w:textDirection w:val="lrTb"/>
            <w:noWrap w:val="false"/>
          </w:tcPr>
          <w:p>
            <w:pPr>
              <w:pStyle w:val="779"/>
              <w:spacing w:beforeAutospacing="0" w:afterAutospacing="0"/>
              <w:rPr>
                <w:rFonts w:ascii="Calibri" w:hAnsi="Calibri" w:cs="Calibri"/>
                <w:sz w:val="21"/>
                <w:szCs w:val="21"/>
              </w:rPr>
            </w:pPr>
            <w:r>
              <w:rPr>
                <w:rFonts w:hint="eastAsia"/>
                <w:sz w:val="21"/>
                <w:szCs w:val="21"/>
              </w:rPr>
              <w:t xml:space="preserve">项目名称：</w:t>
            </w:r>
            <w:r/>
          </w:p>
        </w:tc>
        <w:tc>
          <w:tcPr>
            <w:gridSpan w:val="3"/>
            <w:tcBorders>
              <w:top w:val="single" w:color="auto" w:sz="8" w:space="0"/>
              <w:left w:val="none" w:color="000000" w:sz="4" w:space="0"/>
              <w:bottom w:val="single" w:color="auto" w:sz="8" w:space="0"/>
              <w:right w:val="single" w:color="auto" w:sz="8" w:space="0"/>
            </w:tcBorders>
            <w:tcMar>
              <w:left w:w="108" w:type="dxa"/>
              <w:right w:w="108" w:type="dxa"/>
            </w:tcMar>
            <w:tcW w:w="3539"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运维单位：</w:t>
            </w:r>
            <w:r/>
          </w:p>
        </w:tc>
      </w:tr>
      <w:tr>
        <w:trPr>
          <w:jc w:val="center"/>
          <w:trHeight w:val="285"/>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考核项目</w:t>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考核内容</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计分标准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不合格记录</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扣分</w:t>
            </w:r>
            <w:r/>
          </w:p>
        </w:tc>
      </w:tr>
      <w:tr>
        <w:trPr>
          <w:jc w:val="center"/>
          <w:trHeight w:val="285"/>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restart"/>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服务态度</w:t>
            </w:r>
            <w:r/>
          </w:p>
          <w:p>
            <w:pPr>
              <w:pStyle w:val="779"/>
              <w:jc w:val="center"/>
              <w:spacing w:beforeAutospacing="0" w:afterAutospacing="0"/>
              <w:rPr>
                <w:rFonts w:ascii="Calibri" w:hAnsi="Calibri" w:cs="Calibri"/>
                <w:sz w:val="21"/>
                <w:szCs w:val="21"/>
              </w:rPr>
            </w:pPr>
            <w:r>
              <w:rPr>
                <w:rFonts w:hint="eastAsia"/>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运维人员言行举止文明礼貌。</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一次扣1分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4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运维人员遵守合同约定，不得向用户索取小费或加班费等。</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一次扣1分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4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用户对运维人员服务态度，质量的评价不满意。</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一次扣2分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285"/>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restart"/>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运维服务</w:t>
            </w:r>
            <w:r/>
          </w:p>
          <w:p>
            <w:pPr>
              <w:pStyle w:val="779"/>
              <w:jc w:val="center"/>
              <w:spacing w:beforeAutospacing="0" w:afterAutospacing="0"/>
              <w:rPr>
                <w:rFonts w:ascii="Calibri" w:hAnsi="Calibri" w:cs="Calibri"/>
                <w:sz w:val="21"/>
                <w:szCs w:val="21"/>
              </w:rPr>
            </w:pPr>
            <w:r>
              <w:rPr>
                <w:rFonts w:hint="eastAsia"/>
                <w:sz w:val="21"/>
                <w:szCs w:val="21"/>
              </w:rPr>
              <w:t xml:space="preserve">人员要求</w:t>
            </w:r>
            <w:r/>
          </w:p>
          <w:p>
            <w:pPr>
              <w:pStyle w:val="779"/>
              <w:jc w:val="center"/>
              <w:spacing w:beforeAutospacing="0" w:afterAutospacing="0"/>
              <w:rPr>
                <w:rFonts w:ascii="Calibri" w:hAnsi="Calibri" w:cs="Calibri"/>
                <w:sz w:val="21"/>
                <w:szCs w:val="21"/>
              </w:rPr>
            </w:pPr>
            <w:r>
              <w:rPr>
                <w:rFonts w:hint="eastAsia"/>
                <w:sz w:val="21"/>
                <w:szCs w:val="21"/>
              </w:rPr>
              <w:t xml:space="preserve">（20分）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运维作业人员应满足采购文件，取得相应的资格证。</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一次扣2分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pStyle w:val="779"/>
              <w:jc w:val="both"/>
              <w:spacing w:beforeAutospacing="0" w:afterAutospacing="0"/>
              <w:rPr>
                <w:rFonts w:ascii="Calibri" w:hAnsi="Calibri" w:cs="Calibri"/>
                <w:sz w:val="21"/>
                <w:szCs w:val="21"/>
              </w:rPr>
            </w:pPr>
            <w:r>
              <w:rPr>
                <w:rFonts w:hint="eastAsia"/>
                <w:color w:val="ff0000"/>
                <w:sz w:val="21"/>
                <w:szCs w:val="21"/>
              </w:rPr>
              <w:t xml:space="preserve">　</w:t>
            </w:r>
            <w:r/>
          </w:p>
        </w:tc>
      </w:tr>
      <w:tr>
        <w:trPr>
          <w:jc w:val="center"/>
          <w:trHeight w:val="54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按投标书配备人员到岗保障；保障人员变更需提前5个工作日向市应急管理局报备并审核通过后上岗。</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一次扣5分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4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运维人员按规定填写记录表并留档。</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w:t>
            </w:r>
            <w:r>
              <w:rPr>
                <w:sz w:val="21"/>
                <w:szCs w:val="21"/>
                <w:lang w:val="en"/>
              </w:rPr>
              <w:t xml:space="preserve">2</w:t>
            </w:r>
            <w:r>
              <w:rPr>
                <w:rFonts w:hint="eastAsia"/>
                <w:sz w:val="21"/>
                <w:szCs w:val="21"/>
              </w:rPr>
              <w:t xml:space="preserve">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4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运维人员根据运维合同约定的频次、内容、要求进行检查，并出具书面资料。</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w:t>
            </w:r>
            <w:r>
              <w:rPr>
                <w:sz w:val="21"/>
                <w:szCs w:val="21"/>
                <w:lang w:val="en"/>
              </w:rPr>
              <w:t xml:space="preserve">5</w:t>
            </w:r>
            <w:r>
              <w:rPr>
                <w:rFonts w:hint="eastAsia"/>
                <w:sz w:val="21"/>
                <w:szCs w:val="21"/>
              </w:rPr>
              <w:t xml:space="preserve">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759"/>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运维单位服务过程中发现的问题应及时处理，不能及时处理的应制定相应的整改方案，并在记录表中形成闭环。</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w:t>
            </w:r>
            <w:r>
              <w:rPr>
                <w:sz w:val="21"/>
                <w:szCs w:val="21"/>
                <w:lang w:val="en"/>
              </w:rPr>
              <w:t xml:space="preserve">2</w:t>
            </w:r>
            <w:r>
              <w:rPr>
                <w:rFonts w:hint="eastAsia"/>
                <w:sz w:val="21"/>
                <w:szCs w:val="21"/>
              </w:rPr>
              <w:t xml:space="preserve">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4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运维人员未主动向服务项目反馈运维情况，并由服务项目人员签字确认。</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w:t>
            </w:r>
            <w:r>
              <w:rPr>
                <w:sz w:val="21"/>
                <w:szCs w:val="21"/>
                <w:lang w:val="en"/>
              </w:rPr>
              <w:t xml:space="preserve">2</w:t>
            </w:r>
            <w:r>
              <w:rPr>
                <w:rFonts w:hint="eastAsia"/>
                <w:sz w:val="21"/>
                <w:szCs w:val="21"/>
              </w:rPr>
              <w:t xml:space="preserve">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55"/>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运维记录、表格记录应在服务项目留存一份备案。</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一次扣2分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58"/>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restart"/>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运维服务</w:t>
            </w:r>
            <w:r/>
          </w:p>
          <w:p>
            <w:pPr>
              <w:pStyle w:val="779"/>
              <w:jc w:val="center"/>
              <w:spacing w:beforeAutospacing="0" w:afterAutospacing="0"/>
              <w:rPr>
                <w:rFonts w:ascii="Calibri" w:hAnsi="Calibri" w:cs="Calibri"/>
                <w:sz w:val="21"/>
                <w:szCs w:val="21"/>
              </w:rPr>
            </w:pPr>
            <w:r>
              <w:rPr>
                <w:rFonts w:hint="eastAsia"/>
                <w:sz w:val="21"/>
                <w:szCs w:val="21"/>
              </w:rPr>
              <w:t xml:space="preserve">事项要求</w:t>
            </w:r>
            <w:r/>
          </w:p>
          <w:p>
            <w:pPr>
              <w:pStyle w:val="779"/>
              <w:jc w:val="center"/>
              <w:spacing w:beforeAutospacing="0" w:afterAutospacing="0"/>
              <w:rPr>
                <w:rFonts w:ascii="Calibri" w:hAnsi="Calibri" w:cs="Calibri"/>
                <w:sz w:val="21"/>
                <w:szCs w:val="21"/>
              </w:rPr>
            </w:pPr>
            <w:r>
              <w:rPr>
                <w:rFonts w:hint="eastAsia"/>
                <w:sz w:val="21"/>
                <w:szCs w:val="21"/>
              </w:rPr>
              <w:t xml:space="preserve">（20分）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运维单位设24小时应急值班电话，电话无人接听每次扣3分。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一次扣3分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pStyle w:val="779"/>
              <w:ind w:firstLine="420"/>
              <w:jc w:val="center"/>
              <w:spacing w:beforeAutospacing="0" w:afterAutospacing="0"/>
              <w:rPr>
                <w:rFonts w:ascii="Calibri" w:hAnsi="Calibri" w:cs="Calibri"/>
                <w:sz w:val="21"/>
                <w:szCs w:val="21"/>
              </w:rPr>
            </w:pPr>
            <w:r>
              <w:rPr>
                <w:rFonts w:hint="eastAsia"/>
                <w:sz w:val="21"/>
                <w:szCs w:val="21"/>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pStyle w:val="779"/>
              <w:ind w:firstLine="420"/>
              <w:jc w:val="center"/>
              <w:spacing w:beforeAutospacing="0" w:afterAutospacing="0"/>
              <w:rPr>
                <w:rFonts w:ascii="Calibri" w:hAnsi="Calibri" w:cs="Calibri"/>
                <w:sz w:val="21"/>
                <w:szCs w:val="21"/>
              </w:rPr>
            </w:pPr>
            <w:r>
              <w:rPr>
                <w:rFonts w:hint="eastAsia"/>
                <w:sz w:val="21"/>
                <w:szCs w:val="21"/>
              </w:rPr>
              <w:t xml:space="preserve"> </w:t>
            </w:r>
            <w:r/>
          </w:p>
        </w:tc>
      </w:tr>
      <w:tr>
        <w:trPr>
          <w:jc w:val="center"/>
          <w:trHeight w:val="558"/>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熟练掌握装备与融合通信系统的互联互通技术、应急指挥系统、熟练使用应急指挥设备。</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一次扣2分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81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每周对各云服务器进行巡查，及时向市应急管理局反馈系统应用异常情况，提交系统巡查报告。</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一次扣2分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810"/>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按照采购需求，加强软件系统运维管理，开展应用培训指导、基础数据更新、预警信息发布、数据分析审核、应用通报考评，组织相关技术人员对常州市应急管理信息系统加强数据规范管理，研究功能提升并提交系统功能优化建议方案。</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一次扣</w:t>
            </w:r>
            <w:r>
              <w:rPr>
                <w:sz w:val="21"/>
                <w:szCs w:val="21"/>
                <w:lang w:val="en"/>
              </w:rPr>
              <w:t xml:space="preserve">5</w:t>
            </w:r>
            <w:r>
              <w:rPr>
                <w:rFonts w:hint="eastAsia"/>
                <w:sz w:val="21"/>
                <w:szCs w:val="21"/>
              </w:rPr>
              <w:t xml:space="preserve">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509"/>
        </w:trPr>
        <w:tc>
          <w:tcPr>
            <w:tcBorders>
              <w:top w:val="none" w:color="000000" w:sz="4" w:space="0"/>
              <w:left w:val="single" w:color="auto" w:sz="8" w:space="0"/>
              <w:right w:val="single" w:color="auto" w:sz="8" w:space="0"/>
            </w:tcBorders>
            <w:tcMar>
              <w:left w:w="108" w:type="dxa"/>
              <w:right w:w="108" w:type="dxa"/>
            </w:tcMar>
            <w:tcW w:w="1747" w:type="dxa"/>
            <w:vAlign w:val="center"/>
            <w:vMerge w:val="restart"/>
            <w:textDirection w:val="lrTb"/>
            <w:noWrap w:val="false"/>
          </w:tcPr>
          <w:p>
            <w:pPr>
              <w:pStyle w:val="779"/>
              <w:jc w:val="center"/>
              <w:spacing w:beforeAutospacing="0" w:afterAutospacing="0"/>
              <w:rPr>
                <w:rFonts w:hint="eastAsia"/>
                <w:sz w:val="21"/>
                <w:szCs w:val="21"/>
              </w:rPr>
            </w:pPr>
            <w:r>
              <w:rPr>
                <w:rFonts w:hint="eastAsia"/>
                <w:sz w:val="21"/>
                <w:szCs w:val="21"/>
              </w:rPr>
              <w:t xml:space="preserve">网格安全</w:t>
            </w:r>
            <w:r/>
          </w:p>
          <w:p>
            <w:pPr>
              <w:pStyle w:val="779"/>
              <w:jc w:val="center"/>
              <w:spacing w:beforeAutospacing="0" w:afterAutospacing="0"/>
              <w:rPr>
                <w:rFonts w:hint="eastAsia"/>
                <w:sz w:val="21"/>
                <w:szCs w:val="21"/>
              </w:rPr>
            </w:pPr>
            <w:r>
              <w:rPr>
                <w:rFonts w:hint="eastAsia"/>
                <w:sz w:val="21"/>
                <w:szCs w:val="21"/>
              </w:rPr>
              <w:t xml:space="preserve">（50分）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hint="eastAsia"/>
                <w:sz w:val="21"/>
                <w:szCs w:val="21"/>
                <w:lang w:val="en"/>
              </w:rPr>
            </w:pPr>
            <w:r>
              <w:rPr>
                <w:rFonts w:hint="eastAsia"/>
                <w:sz w:val="21"/>
                <w:szCs w:val="21"/>
              </w:rPr>
              <w:t xml:space="preserve">未如实承诺，合同签订之日前三年及服务期内，存在违反网络安全、数据安全和个人信息保护相关法律法规，受到过行政处罚、刑事处罚</w:t>
            </w:r>
            <w:r>
              <w:rPr>
                <w:sz w:val="21"/>
                <w:szCs w:val="21"/>
                <w:lang w:val="en"/>
              </w:rPr>
              <w:t xml:space="preserve">,</w:t>
            </w:r>
            <w:r>
              <w:rPr>
                <w:rFonts w:hint="eastAsia"/>
                <w:sz w:val="21"/>
                <w:szCs w:val="21"/>
              </w:rPr>
              <w:t xml:space="preserve">被公安、网信等部门文件通报至市应急管理局。</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hint="eastAsia"/>
                <w:sz w:val="21"/>
                <w:szCs w:val="21"/>
              </w:rPr>
            </w:pPr>
            <w:r>
              <w:rPr>
                <w:rFonts w:hint="eastAsia"/>
                <w:sz w:val="21"/>
                <w:szCs w:val="21"/>
              </w:rPr>
              <w:t xml:space="preserve">一次50分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r>
      <w:tr>
        <w:trPr>
          <w:jc w:val="center"/>
          <w:trHeight w:val="509"/>
        </w:trPr>
        <w:tc>
          <w:tcPr>
            <w:tcBorders>
              <w:left w:val="single" w:color="auto" w:sz="8" w:space="0"/>
              <w:right w:val="single" w:color="auto" w:sz="8" w:space="0"/>
            </w:tcBorders>
            <w:tcMar>
              <w:left w:w="108" w:type="dxa"/>
              <w:right w:w="108" w:type="dxa"/>
            </w:tcMar>
            <w:tcW w:w="1747" w:type="dxa"/>
            <w:vAlign w:val="center"/>
            <w:vMerge w:val="continue"/>
            <w:textDirection w:val="lrTb"/>
            <w:noWrap w:val="false"/>
          </w:tcPr>
          <w:p>
            <w:pPr>
              <w:pStyle w:val="779"/>
              <w:jc w:val="center"/>
              <w:spacing w:beforeAutospacing="0" w:afterAutospacing="0"/>
              <w:rPr>
                <w:rFonts w:hint="eastAsia"/>
                <w:sz w:val="21"/>
                <w:szCs w:val="21"/>
              </w:rPr>
            </w:pPr>
            <w:r>
              <w:rPr>
                <w:rFonts w:hint="eastAsia"/>
                <w:sz w:val="21"/>
                <w:szCs w:val="21"/>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hint="eastAsia"/>
                <w:sz w:val="21"/>
                <w:szCs w:val="21"/>
              </w:rPr>
            </w:pPr>
            <w:r>
              <w:rPr>
                <w:rFonts w:hint="eastAsia"/>
                <w:sz w:val="21"/>
                <w:szCs w:val="21"/>
              </w:rPr>
              <w:t xml:space="preserve">违反本协议的约定、承诺或保证，导致本服务项目发生重大网络和数据安全事件，或造成其他严重后果的。</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hint="eastAsia"/>
                <w:sz w:val="21"/>
                <w:szCs w:val="21"/>
              </w:rPr>
            </w:pPr>
            <w:r>
              <w:rPr>
                <w:rFonts w:hint="eastAsia"/>
                <w:sz w:val="21"/>
                <w:szCs w:val="21"/>
              </w:rPr>
              <w:t xml:space="preserve">一次50分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r>
      <w:tr>
        <w:trPr>
          <w:jc w:val="center"/>
          <w:trHeight w:val="509"/>
        </w:trPr>
        <w:tc>
          <w:tcPr>
            <w:tcBorders>
              <w:left w:val="single" w:color="auto" w:sz="8" w:space="0"/>
              <w:right w:val="single" w:color="auto" w:sz="8" w:space="0"/>
            </w:tcBorders>
            <w:tcMar>
              <w:left w:w="108" w:type="dxa"/>
              <w:right w:w="108" w:type="dxa"/>
            </w:tcMar>
            <w:tcW w:w="1747" w:type="dxa"/>
            <w:vAlign w:val="center"/>
            <w:vMerge w:val="continue"/>
            <w:textDirection w:val="lrTb"/>
            <w:noWrap w:val="false"/>
          </w:tcPr>
          <w:p>
            <w:pPr>
              <w:pStyle w:val="779"/>
              <w:jc w:val="center"/>
              <w:spacing w:beforeAutospacing="0" w:afterAutospacing="0"/>
              <w:rPr>
                <w:rFonts w:hint="eastAsia"/>
                <w:sz w:val="21"/>
                <w:szCs w:val="21"/>
              </w:rPr>
            </w:pPr>
            <w:r>
              <w:rPr>
                <w:rFonts w:hint="eastAsia"/>
                <w:sz w:val="21"/>
                <w:szCs w:val="21"/>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lang w:bidi="ar"/>
              </w:rPr>
            </w:pPr>
            <w:r>
              <w:rPr>
                <w:rFonts w:hint="eastAsia"/>
                <w:sz w:val="21"/>
                <w:szCs w:val="21"/>
              </w:rPr>
              <w:t xml:space="preserve">运维单位未主动签订或督促外协单位签订《外包网络安全协议要点》《信息安全保密协议》，明确双方权利和义务。 </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lang w:bidi="ar"/>
              </w:rPr>
            </w:pPr>
            <w:r>
              <w:rPr>
                <w:rFonts w:hint="eastAsia"/>
                <w:sz w:val="21"/>
                <w:szCs w:val="21"/>
              </w:rPr>
              <w:t xml:space="preserve">一次扣10分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r>
      <w:tr>
        <w:trPr>
          <w:jc w:val="center"/>
          <w:trHeight w:val="509"/>
        </w:trPr>
        <w:tc>
          <w:tcPr>
            <w:tcBorders>
              <w:left w:val="single" w:color="auto" w:sz="8" w:space="0"/>
              <w:right w:val="single" w:color="auto" w:sz="8" w:space="0"/>
            </w:tcBorders>
            <w:tcMar>
              <w:left w:w="108" w:type="dxa"/>
              <w:right w:w="108" w:type="dxa"/>
            </w:tcMar>
            <w:tcW w:w="1747" w:type="dxa"/>
            <w:vAlign w:val="center"/>
            <w:vMerge w:val="continue"/>
            <w:textDirection w:val="lrTb"/>
            <w:noWrap w:val="false"/>
          </w:tcPr>
          <w:p>
            <w:pPr>
              <w:pStyle w:val="779"/>
              <w:jc w:val="center"/>
              <w:spacing w:beforeAutospacing="0" w:afterAutospacing="0"/>
              <w:rPr>
                <w:rFonts w:hint="eastAsia"/>
                <w:sz w:val="21"/>
                <w:szCs w:val="21"/>
              </w:rPr>
            </w:pPr>
            <w:r>
              <w:rPr>
                <w:rFonts w:hint="eastAsia"/>
                <w:sz w:val="21"/>
                <w:szCs w:val="21"/>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hint="eastAsia"/>
                <w:sz w:val="21"/>
                <w:szCs w:val="21"/>
              </w:rPr>
            </w:pPr>
            <w:r>
              <w:rPr>
                <w:rFonts w:hint="eastAsia"/>
                <w:sz w:val="21"/>
                <w:szCs w:val="21"/>
              </w:rPr>
              <w:t xml:space="preserve">运维人员应保守信息安全保密协议，被发现存在违反网络安全、数据安全和个人信息保护等规定行为。</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hint="eastAsia"/>
                <w:sz w:val="21"/>
                <w:szCs w:val="21"/>
              </w:rPr>
            </w:pPr>
            <w:r>
              <w:rPr>
                <w:rFonts w:hint="eastAsia"/>
                <w:sz w:val="21"/>
                <w:szCs w:val="21"/>
              </w:rPr>
              <w:t xml:space="preserve">一次扣</w:t>
            </w:r>
            <w:r>
              <w:rPr>
                <w:sz w:val="21"/>
                <w:szCs w:val="21"/>
                <w:lang w:val="en"/>
              </w:rPr>
              <w:t xml:space="preserve">5</w:t>
            </w:r>
            <w:r>
              <w:rPr>
                <w:rFonts w:hint="eastAsia"/>
                <w:sz w:val="21"/>
                <w:szCs w:val="21"/>
              </w:rPr>
              <w:t xml:space="preserve">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r>
      <w:tr>
        <w:trPr>
          <w:jc w:val="center"/>
          <w:trHeight w:val="509"/>
        </w:trPr>
        <w:tc>
          <w:tcPr>
            <w:tcBorders>
              <w:left w:val="single" w:color="auto" w:sz="8" w:space="0"/>
              <w:right w:val="single" w:color="auto" w:sz="8" w:space="0"/>
            </w:tcBorders>
            <w:tcMar>
              <w:left w:w="108" w:type="dxa"/>
              <w:right w:w="108" w:type="dxa"/>
            </w:tcMar>
            <w:tcW w:w="1747" w:type="dxa"/>
            <w:vAlign w:val="center"/>
            <w:vMerge w:val="continue"/>
            <w:textDirection w:val="lrTb"/>
            <w:noWrap w:val="false"/>
          </w:tcPr>
          <w:p>
            <w:pPr>
              <w:pStyle w:val="779"/>
              <w:jc w:val="center"/>
              <w:spacing w:beforeAutospacing="0" w:afterAutospacing="0"/>
              <w:rPr>
                <w:rFonts w:hint="eastAsia"/>
                <w:sz w:val="21"/>
                <w:szCs w:val="21"/>
              </w:rPr>
            </w:pPr>
            <w:r>
              <w:rPr>
                <w:rFonts w:hint="eastAsia"/>
                <w:sz w:val="21"/>
                <w:szCs w:val="21"/>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hint="eastAsia"/>
                <w:sz w:val="21"/>
                <w:szCs w:val="21"/>
              </w:rPr>
            </w:pPr>
            <w:r>
              <w:rPr>
                <w:rFonts w:hint="eastAsia"/>
                <w:sz w:val="21"/>
                <w:szCs w:val="21"/>
              </w:rPr>
              <w:t xml:space="preserve">被公安、网信部门通报，运维管理服务范围内资产存在高危漏洞。</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hint="eastAsia"/>
                <w:sz w:val="21"/>
                <w:szCs w:val="21"/>
              </w:rPr>
            </w:pPr>
            <w:r>
              <w:rPr>
                <w:rFonts w:hint="eastAsia"/>
                <w:sz w:val="21"/>
                <w:szCs w:val="21"/>
              </w:rPr>
              <w:t xml:space="preserve">一个扣2份</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r>
            <w:r/>
          </w:p>
        </w:tc>
      </w:tr>
      <w:tr>
        <w:trPr>
          <w:jc w:val="center"/>
          <w:trHeight w:val="509"/>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restart"/>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应急处理</w:t>
            </w:r>
            <w:r/>
          </w:p>
          <w:p>
            <w:pPr>
              <w:pStyle w:val="779"/>
              <w:jc w:val="center"/>
              <w:spacing w:beforeAutospacing="0" w:afterAutospacing="0"/>
              <w:rPr>
                <w:rFonts w:ascii="Calibri" w:hAnsi="Calibri" w:cs="Calibri"/>
                <w:sz w:val="21"/>
                <w:szCs w:val="21"/>
              </w:rPr>
            </w:pPr>
            <w:r>
              <w:rPr>
                <w:rFonts w:hint="eastAsia"/>
                <w:sz w:val="21"/>
                <w:szCs w:val="21"/>
              </w:rPr>
              <w:t xml:space="preserve">（5分）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接到日常故障报修后，运维人员必须在合同约定时间内赶到现场处理。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每超时</w:t>
            </w:r>
            <w:r>
              <w:rPr>
                <w:sz w:val="21"/>
                <w:szCs w:val="21"/>
                <w:lang w:val="en"/>
              </w:rPr>
              <w:t xml:space="preserve">2</w:t>
            </w:r>
            <w:r>
              <w:rPr>
                <w:rFonts w:hint="eastAsia"/>
                <w:sz w:val="21"/>
                <w:szCs w:val="21"/>
              </w:rPr>
              <w:t xml:space="preserve">小时扣1分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716"/>
        </w:trPr>
        <w:tc>
          <w:tcPr>
            <w:tcBorders>
              <w:top w:val="none" w:color="000000" w:sz="4" w:space="0"/>
              <w:left w:val="single" w:color="auto" w:sz="8" w:space="0"/>
              <w:bottom w:val="single" w:color="auto" w:sz="8" w:space="0"/>
              <w:right w:val="single" w:color="auto" w:sz="8" w:space="0"/>
            </w:tcBorders>
            <w:tcMar>
              <w:left w:w="108" w:type="dxa"/>
              <w:right w:w="108" w:type="dxa"/>
            </w:tcMar>
            <w:tcW w:w="1747" w:type="dxa"/>
            <w:vAlign w:val="center"/>
            <w:vMerge w:val="continue"/>
            <w:textDirection w:val="lrTb"/>
            <w:noWrap w:val="false"/>
          </w:tcPr>
          <w:p>
            <w:pPr>
              <w:rPr>
                <w:rFonts w:ascii="宋体"/>
                <w:sz w:val="24"/>
              </w:rPr>
            </w:pPr>
            <w:r>
              <w:rPr>
                <w:rFonts w:ascii="宋体"/>
                <w:sz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608" w:type="dxa"/>
            <w:vAlign w:val="center"/>
            <w:textDirection w:val="lrTb"/>
            <w:noWrap w:val="false"/>
          </w:tcPr>
          <w:p>
            <w:pPr>
              <w:pStyle w:val="779"/>
              <w:jc w:val="both"/>
              <w:spacing w:beforeAutospacing="0" w:afterAutospacing="0"/>
              <w:rPr>
                <w:rFonts w:ascii="Calibri" w:hAnsi="Calibri" w:cs="Calibri"/>
                <w:sz w:val="21"/>
                <w:szCs w:val="21"/>
              </w:rPr>
            </w:pPr>
            <w:r>
              <w:rPr>
                <w:rFonts w:hint="eastAsia"/>
                <w:sz w:val="21"/>
                <w:szCs w:val="21"/>
              </w:rPr>
              <w:t xml:space="preserve">一般故障应在48小时内处理完毕；特殊情况，需双方确认处理方案除外。</w:t>
            </w:r>
            <w:r/>
          </w:p>
        </w:tc>
        <w:tc>
          <w:tcPr>
            <w:tcBorders>
              <w:top w:val="none" w:color="000000" w:sz="4" w:space="0"/>
              <w:left w:val="none" w:color="000000" w:sz="4" w:space="0"/>
              <w:bottom w:val="single" w:color="auto" w:sz="8" w:space="0"/>
              <w:right w:val="single" w:color="auto" w:sz="8" w:space="0"/>
            </w:tcBorders>
            <w:tcMar>
              <w:left w:w="108" w:type="dxa"/>
              <w:right w:w="108" w:type="dxa"/>
            </w:tcMar>
            <w:tcW w:w="1340"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每超时</w:t>
            </w:r>
            <w:r>
              <w:rPr>
                <w:sz w:val="21"/>
                <w:szCs w:val="21"/>
                <w:lang w:val="en"/>
              </w:rPr>
              <w:t xml:space="preserve">6</w:t>
            </w:r>
            <w:r>
              <w:rPr>
                <w:rFonts w:hint="eastAsia"/>
                <w:sz w:val="21"/>
                <w:szCs w:val="21"/>
              </w:rPr>
              <w:t xml:space="preserve">小时扣2分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1268" w:type="dxa"/>
            <w:vAlign w:val="center"/>
            <w:textDirection w:val="lrTb"/>
            <w:noWrap w:val="false"/>
          </w:tcPr>
          <w:p>
            <w:pPr>
              <w:jc w:val="left"/>
              <w:widowControl/>
            </w:pPr>
            <w:r>
              <w:rPr>
                <w:rFonts w:ascii="宋体" w:hAnsi="宋体" w:cs="宋体"/>
                <w:sz w:val="24"/>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931" w:type="dxa"/>
            <w:vAlign w:val="center"/>
            <w:textDirection w:val="lrTb"/>
            <w:noWrap w:val="false"/>
          </w:tcPr>
          <w:p>
            <w:pPr>
              <w:jc w:val="left"/>
              <w:widowControl/>
            </w:pPr>
            <w:r>
              <w:rPr>
                <w:rFonts w:ascii="宋体" w:hAnsi="宋体" w:cs="宋体"/>
                <w:sz w:val="24"/>
                <w:lang w:bidi="ar"/>
              </w:rPr>
              <w:t xml:space="preserve"> </w:t>
            </w:r>
            <w:r/>
          </w:p>
        </w:tc>
      </w:tr>
      <w:tr>
        <w:trPr>
          <w:jc w:val="center"/>
          <w:trHeight w:val="285"/>
        </w:trPr>
        <w:tc>
          <w:tcPr>
            <w:gridSpan w:val="3"/>
            <w:tcBorders>
              <w:top w:val="none" w:color="000000" w:sz="4" w:space="0"/>
              <w:left w:val="single" w:color="auto" w:sz="8" w:space="0"/>
              <w:bottom w:val="single" w:color="auto" w:sz="8" w:space="0"/>
              <w:right w:val="none" w:color="000000" w:sz="4" w:space="0"/>
            </w:tcBorders>
            <w:tcMar>
              <w:left w:w="108" w:type="dxa"/>
              <w:right w:w="108" w:type="dxa"/>
            </w:tcMar>
            <w:tcW w:w="6695" w:type="dxa"/>
            <w:vAlign w:val="center"/>
            <w:textDirection w:val="lrTb"/>
            <w:noWrap w:val="false"/>
          </w:tcPr>
          <w:p>
            <w:pPr>
              <w:pStyle w:val="779"/>
              <w:jc w:val="center"/>
              <w:spacing w:beforeAutospacing="0" w:afterAutospacing="0"/>
              <w:rPr>
                <w:rFonts w:ascii="Calibri" w:hAnsi="Calibri" w:cs="Calibri"/>
                <w:sz w:val="21"/>
                <w:szCs w:val="21"/>
              </w:rPr>
            </w:pPr>
            <w:r>
              <w:rPr>
                <w:rFonts w:hint="eastAsia"/>
                <w:sz w:val="21"/>
                <w:szCs w:val="21"/>
              </w:rPr>
              <w:t xml:space="preserve">得分</w:t>
            </w:r>
            <w:r/>
          </w:p>
        </w:tc>
        <w:tc>
          <w:tcPr>
            <w:gridSpan w:val="2"/>
            <w:tcBorders>
              <w:top w:val="none" w:color="000000" w:sz="4" w:space="0"/>
              <w:left w:val="single" w:color="auto" w:sz="8" w:space="0"/>
              <w:bottom w:val="single" w:color="auto" w:sz="8" w:space="0"/>
              <w:right w:val="single" w:color="auto" w:sz="8" w:space="0"/>
            </w:tcBorders>
            <w:tcMar>
              <w:left w:w="108" w:type="dxa"/>
              <w:right w:w="108" w:type="dxa"/>
            </w:tcMar>
            <w:tcW w:w="2199" w:type="dxa"/>
            <w:vAlign w:val="center"/>
            <w:textDirection w:val="lrTb"/>
            <w:noWrap w:val="false"/>
          </w:tcPr>
          <w:p>
            <w:pPr>
              <w:jc w:val="left"/>
              <w:widowControl/>
            </w:pPr>
            <w:r>
              <w:rPr>
                <w:rFonts w:ascii="宋体" w:hAnsi="宋体" w:cs="宋体"/>
                <w:sz w:val="24"/>
                <w:lang w:bidi="ar"/>
              </w:rPr>
              <w:t xml:space="preserve"> </w:t>
            </w:r>
            <w:r/>
          </w:p>
        </w:tc>
      </w:tr>
    </w:tbl>
    <w:p>
      <w:pPr>
        <w:spacing w:line="500" w:lineRule="exact"/>
        <w:rPr>
          <w:rFonts w:hint="eastAsia" w:ascii="宋体" w:hAnsi="宋体" w:cs="宋体"/>
          <w:color w:val="ff0000"/>
        </w:rPr>
      </w:pPr>
      <w:r>
        <w:rPr>
          <w:rFonts w:hint="eastAsia" w:ascii="宋体" w:hAnsi="宋体"/>
          <w:sz w:val="24"/>
        </w:rPr>
        <w:t xml:space="preserve">3. 验收标准：</w:t>
      </w:r>
      <w:r>
        <w:rPr>
          <w:rFonts w:hint="eastAsia" w:ascii="宋体" w:hAnsi="宋体" w:cs="宋体"/>
          <w:color w:val="ff0000"/>
          <w:sz w:val="24"/>
        </w:rPr>
        <w:t xml:space="preserve">能够解决采购人信息化项目软件系统运维、软件基础支撑能力、网络安全技术服务和网络线路资源租用等服务，确保常州市应急管理平台正常运转。</w:t>
      </w:r>
      <w:r/>
    </w:p>
    <w:p>
      <w:pPr>
        <w:spacing w:line="500" w:lineRule="exact"/>
        <w:rPr>
          <w:rFonts w:hint="eastAsia" w:ascii="宋体" w:hAnsi="宋体"/>
          <w:sz w:val="24"/>
        </w:rPr>
      </w:pPr>
      <w:r>
        <w:rPr>
          <w:rFonts w:hint="eastAsia" w:ascii="宋体" w:hAnsi="宋体"/>
          <w:sz w:val="24"/>
        </w:rPr>
        <w:t xml:space="preserve">4. 其他要求：无</w:t>
      </w:r>
      <w:r/>
    </w:p>
    <w:p>
      <w:pPr>
        <w:spacing w:line="500" w:lineRule="exact"/>
        <w:rPr>
          <w:rFonts w:hint="eastAsia" w:ascii="宋体" w:hAnsi="宋体"/>
          <w:sz w:val="24"/>
        </w:rPr>
      </w:pPr>
      <w:r>
        <w:rPr>
          <w:rFonts w:hint="eastAsia" w:ascii="宋体" w:hAnsi="宋体"/>
          <w:sz w:val="24"/>
        </w:rPr>
        <w:t xml:space="preserve">5. 实质性要求：无</w:t>
      </w:r>
      <w:r/>
    </w:p>
    <w:p>
      <w:pPr>
        <w:spacing w:line="500" w:lineRule="exact"/>
        <w:rPr>
          <w:rFonts w:hint="eastAsia" w:ascii="宋体" w:hAnsi="宋体"/>
          <w:sz w:val="24"/>
        </w:rPr>
      </w:pPr>
      <w:r>
        <w:rPr>
          <w:rFonts w:hint="eastAsia" w:ascii="宋体" w:hAnsi="宋体"/>
          <w:sz w:val="24"/>
        </w:rPr>
        <w:t xml:space="preserve">6. 样品：无</w:t>
      </w:r>
      <w:r/>
    </w:p>
    <w:p>
      <w:pPr>
        <w:spacing w:line="500" w:lineRule="exact"/>
        <w:rPr>
          <w:rFonts w:hint="eastAsia" w:ascii="宋体" w:hAnsi="宋体"/>
          <w:sz w:val="24"/>
        </w:rPr>
      </w:pPr>
      <w:r>
        <w:rPr>
          <w:rFonts w:hint="eastAsia" w:ascii="宋体" w:hAnsi="宋体"/>
          <w:sz w:val="24"/>
        </w:rPr>
        <w:t xml:space="preserve">7. 演示：无</w:t>
      </w:r>
      <w:r/>
    </w:p>
    <w:p>
      <w:pPr>
        <w:spacing w:line="500" w:lineRule="exact"/>
        <w:rPr>
          <w:rFonts w:hint="eastAsia" w:ascii="宋体" w:hAnsi="宋体"/>
          <w:sz w:val="24"/>
        </w:rPr>
      </w:pPr>
      <w:r>
        <w:rPr>
          <w:rFonts w:hint="eastAsia" w:ascii="宋体" w:hAnsi="宋体"/>
          <w:sz w:val="24"/>
        </w:rPr>
        <w:t xml:space="preserve">8.采购标的对应的中小企业划分标准所属行业一览表</w:t>
      </w:r>
      <w:r/>
    </w:p>
    <w:tbl>
      <w:tblPr>
        <w:tblW w:w="9069" w:type="dxa"/>
        <w:tblLayout w:type="fixed"/>
        <w:tblLook w:val="04A0" w:firstRow="1" w:lastRow="0" w:firstColumn="1" w:lastColumn="0" w:noHBand="0" w:noVBand="1"/>
      </w:tblPr>
      <w:tblGrid>
        <w:gridCol w:w="924"/>
        <w:gridCol w:w="3900"/>
        <w:gridCol w:w="42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jc w:val="center"/>
              <w:rPr>
                <w:rFonts w:ascii="Times New Roman" w:hAnsi="Times New Roman"/>
                <w:szCs w:val="21"/>
              </w:rPr>
            </w:pPr>
            <w:r>
              <w:rPr>
                <w:rFonts w:ascii="宋体" w:hAnsi="宋体" w:cs="宋体"/>
                <w:color w:val="000000"/>
                <w:sz w:val="24"/>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rPr>
                <w:rFonts w:ascii="Times New Roman" w:hAnsi="Times New Roman"/>
                <w:szCs w:val="21"/>
              </w:rPr>
            </w:pPr>
            <w:r>
              <w:rPr>
                <w:rFonts w:ascii="宋体" w:hAnsi="宋体" w:cs="宋体"/>
                <w:color w:val="000000"/>
                <w:sz w:val="24"/>
                <w:szCs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45" w:type="dxa"/>
            <w:vAlign w:val="center"/>
            <w:textDirection w:val="lrTb"/>
            <w:noWrap w:val="false"/>
          </w:tcPr>
          <w:p>
            <w:pPr>
              <w:jc w:val="center"/>
              <w:rPr>
                <w:rFonts w:ascii="Times New Roman" w:hAnsi="Times New Roman"/>
                <w:szCs w:val="21"/>
              </w:rPr>
            </w:pPr>
            <w:r>
              <w:rPr>
                <w:rFonts w:ascii="宋体" w:hAnsi="宋体" w:cs="宋体"/>
                <w:color w:val="000000"/>
                <w:sz w:val="24"/>
                <w:szCs w:val="21"/>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jc w:val="center"/>
              <w:rPr>
                <w:rFonts w:ascii="Times New Roman" w:hAnsi="Times New Roman"/>
                <w:szCs w:val="21"/>
              </w:rPr>
            </w:pPr>
            <w:r>
              <w:rPr>
                <w:rFonts w:ascii="宋体" w:hAnsi="宋体" w:cs="宋体"/>
                <w:color w:val="000000"/>
                <w:sz w:val="24"/>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rPr>
                <w:rFonts w:ascii="Times New Roman" w:hAnsi="Times New Roman"/>
                <w:szCs w:val="21"/>
              </w:rPr>
            </w:pPr>
            <w:r>
              <w:rPr>
                <w:rFonts w:hint="eastAsia" w:ascii="宋体" w:hAnsi="宋体" w:cs="宋体"/>
                <w:color w:val="000000"/>
                <w:sz w:val="24"/>
                <w:szCs w:val="21"/>
              </w:rPr>
              <w:t xml:space="preserve">常州市应急</w:t>
            </w:r>
            <w:r>
              <w:rPr>
                <w:rFonts w:ascii="宋体" w:hAnsi="宋体" w:cs="宋体"/>
                <w:color w:val="000000"/>
                <w:sz w:val="24"/>
                <w:szCs w:val="21"/>
              </w:rPr>
              <w:t xml:space="preserve">管理局信息化项目运维</w:t>
            </w:r>
            <w:r>
              <w:rPr>
                <w:rFonts w:hint="eastAsia" w:ascii="宋体" w:hAnsi="宋体" w:cs="宋体"/>
                <w:color w:val="000000"/>
                <w:sz w:val="24"/>
                <w:szCs w:val="21"/>
              </w:rPr>
              <w:t xml:space="preserve">管理</w:t>
            </w:r>
            <w:r>
              <w:rPr>
                <w:rFonts w:ascii="宋体" w:hAnsi="宋体" w:cs="宋体"/>
                <w:color w:val="000000"/>
                <w:sz w:val="24"/>
                <w:szCs w:val="21"/>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5" w:type="dxa"/>
            <w:vAlign w:val="center"/>
            <w:textDirection w:val="lrTb"/>
            <w:noWrap w:val="false"/>
          </w:tcPr>
          <w:p>
            <w:pPr>
              <w:jc w:val="center"/>
              <w:rPr>
                <w:rFonts w:ascii="Times New Roman" w:hAnsi="Times New Roman"/>
                <w:szCs w:val="21"/>
              </w:rPr>
            </w:pPr>
            <w:r>
              <w:rPr>
                <w:rFonts w:hint="eastAsia" w:ascii="宋体" w:hAnsi="宋体" w:cs="宋体"/>
                <w:color w:val="000000"/>
                <w:sz w:val="24"/>
                <w:szCs w:val="21"/>
              </w:rPr>
              <w:t xml:space="preserve">软件</w:t>
            </w:r>
            <w:r>
              <w:rPr>
                <w:rFonts w:ascii="宋体" w:hAnsi="宋体" w:cs="宋体"/>
                <w:color w:val="000000"/>
                <w:sz w:val="24"/>
                <w:szCs w:val="21"/>
              </w:rPr>
              <w:t xml:space="preserve">和信息技术</w:t>
            </w:r>
            <w:r>
              <w:rPr>
                <w:rFonts w:hint="eastAsia" w:ascii="宋体" w:hAnsi="宋体" w:cs="宋体"/>
                <w:color w:val="000000"/>
                <w:sz w:val="24"/>
                <w:szCs w:val="21"/>
              </w:rPr>
              <w:t xml:space="preserve">服务</w:t>
            </w:r>
            <w:r>
              <w:rPr>
                <w:rFonts w:ascii="宋体" w:hAnsi="宋体" w:cs="宋体"/>
                <w:color w:val="000000"/>
                <w:sz w:val="24"/>
                <w:szCs w:val="21"/>
              </w:rPr>
              <w:t xml:space="preserve">业</w:t>
            </w:r>
            <w:r/>
          </w:p>
        </w:tc>
      </w:tr>
    </w:tbl>
    <w:p>
      <w:pPr>
        <w:pStyle w:val="753"/>
        <w:ind w:left="0"/>
        <w:jc w:val="left"/>
        <w:spacing w:line="360" w:lineRule="auto"/>
        <w:rPr>
          <w:rFonts w:ascii="Times New Roman" w:hAnsi="Times New Roman"/>
          <w:sz w:val="24"/>
          <w:szCs w:val="24"/>
        </w:rPr>
      </w:pPr>
      <w:r>
        <w:rPr>
          <w:rFonts w:ascii="Times New Roman" w:hAnsi="Times New Roman"/>
          <w:sz w:val="24"/>
          <w:szCs w:val="24"/>
        </w:rPr>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eastAsia="黑体" w:cs="Calibri"/>
          <w:color w:val="000000"/>
          <w:sz w:val="44"/>
        </w:rPr>
        <w:t xml:space="preserve"> </w:t>
      </w:r>
      <w:r>
        <w:rPr>
          <w:rFonts w:ascii="黑体" w:hAnsi="黑体" w:eastAsia="黑体" w:cs="黑体"/>
          <w:color w:val="000000"/>
          <w:sz w:val="44"/>
        </w:rPr>
        <w:t xml:space="preserve"> </w:t>
      </w:r>
      <w:r>
        <w:rPr>
          <w:rFonts w:ascii="黑体" w:hAnsi="黑体" w:eastAsia="黑体" w:cs="黑体"/>
          <w:b/>
          <w:color w:val="000000"/>
          <w:sz w:val="44"/>
        </w:rPr>
        <w:t xml:space="preserve">评审方法与评审标准</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ind w:left="0" w:right="0" w:firstLine="439"/>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响应文件满足磋商文件全部实质性要求，且按照评审因素的量化指标评审得分最高的供应商为排名第一的成交候选人。本项目分包选取</w:t>
      </w:r>
      <w:r>
        <w:rPr>
          <w:rFonts w:ascii="Arial" w:hAnsi="Arial" w:eastAsia="Arial" w:cs="Arial"/>
          <w:color w:val="000000"/>
          <w:sz w:val="24"/>
        </w:rPr>
        <w:t xml:space="preserve">3</w:t>
      </w:r>
      <w:r>
        <w:rPr>
          <w:rFonts w:ascii="SimSun" w:hAnsi="SimSun" w:eastAsia="SimSun" w:cs="SimSun"/>
          <w:color w:val="000000"/>
          <w:sz w:val="24"/>
        </w:rPr>
        <w:t xml:space="preserve">名成交候选人。</w:t>
      </w:r>
      <w:r/>
    </w:p>
    <w:p>
      <w:pPr>
        <w:ind w:left="0" w:right="0" w:firstLine="44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本项目属于专门面向中小企业预留份额采购项目，按规定不再执行小微型企业价格扣除政策。</w:t>
      </w:r>
      <w:r>
        <w:rPr>
          <w:sz w:val="21"/>
        </w:rPr>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tbl>
      <w:tblPr>
        <w:tblW w:w="9169" w:type="dxa"/>
        <w:tblLayout w:type="fixed"/>
        <w:tblLook w:val="04A0" w:firstRow="1" w:lastRow="0" w:firstColumn="1" w:lastColumn="0" w:noHBand="0" w:noVBand="1"/>
      </w:tblPr>
      <w:tblGrid>
        <w:gridCol w:w="656"/>
        <w:gridCol w:w="656"/>
        <w:gridCol w:w="5233"/>
        <w:gridCol w:w="657"/>
        <w:gridCol w:w="657"/>
        <w:gridCol w:w="657"/>
        <w:gridCol w:w="653"/>
      </w:tblGrid>
      <w:tr>
        <w:trPr>
          <w:trHeight w:val="5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评分因素</w:t>
            </w:r>
            <w:r/>
          </w:p>
        </w:tc>
        <w:tc>
          <w:tcPr>
            <w:tcBorders>
              <w:top w:val="single" w:color="000000" w:sz="4" w:space="0"/>
              <w:left w:val="none" w:color="000000" w:sz="4" w:space="0"/>
              <w:bottom w:val="single" w:color="000000" w:sz="4" w:space="0"/>
              <w:right w:val="single" w:color="000000" w:sz="4" w:space="0"/>
            </w:tcBorders>
            <w:tcW w:w="5233"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评分标准和评审材料</w:t>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最低分值</w:t>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最高分值</w:t>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　</w:t>
            </w:r>
            <w:r/>
          </w:p>
        </w:tc>
      </w:tr>
      <w:tr>
        <w:trPr>
          <w:trHeight w:val="72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价格分</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center"/>
              <w:spacing w:after="0" w:line="240" w:lineRule="auto"/>
              <w:widowControl/>
              <w:rPr>
                <w14:ligatures w14:val="none"/>
              </w:rPr>
            </w:pPr>
            <w:r>
              <w:t xml:space="preserve">采用低价优先法计算，即满足招标文件要求且投标价格最低的投标报价为评标基准价，其价格分为满分。其他投标人的价格分统一按照下列公式计算： 投标报价得分评标基准价／投标报价×价格权值×100。 </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15</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51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序号</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评分因素</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center"/>
              <w:spacing w:after="0" w:line="240" w:lineRule="auto"/>
              <w:widowControl/>
              <w:rPr>
                <w14:ligatures w14:val="none"/>
              </w:rPr>
            </w:pPr>
            <w:r>
              <w:t xml:space="preserve">评分标准和评审材料</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最低分值</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最高分值</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是否暗标评审</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是否客观分</w:t>
            </w:r>
            <w:r/>
          </w:p>
        </w:tc>
      </w:tr>
      <w:tr>
        <w:trPr>
          <w:trHeight w:val="72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技术分（主管分）</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center"/>
              <w:spacing w:after="0" w:line="240" w:lineRule="auto"/>
              <w:widowControl/>
              <w:rPr>
                <w14:ligatures w14:val="none"/>
              </w:rPr>
            </w:pPr>
            <w:r>
              <w:t xml:space="preserve">下列（2.1，2.2，2.3，2.4，2.5，2.6、2.7）评分项属于暗标评审项。各投标人（供应商）提供评审材料（含样品）中不能出现投标人（供应商）的名称、标志、标记以及其它能够体现投标人（供应商）的信息，否则所有暗标评审项目均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58</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r>
      <w:tr>
        <w:trPr>
          <w:trHeight w:val="144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项目运维管理服务保障方案</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14:ligatures w14:val="none"/>
              </w:rPr>
            </w:pPr>
            <w:r>
              <w:t xml:space="preserve">项目运维管理服务保障方案：本项目针对方案内容进行综合评审，方案内容需包含常州市应急管理局信息化项目运维管理服务内容，确保项目良性运行提供的协调保障方案，包含：保障服务组织机构，技术人员组成，工作职责分工，业务能力提升培训，信息安全、网络、装备、技术运营保障措施，以及设备故障、通信中断等应急预案。方案内容详实完整，科学合理性强，针对性强得10分；方案内容较详实完整，较科学合理，针对性较强得8分；方案内容稍有欠缺，科学合理欠缺，针对性一般得6分；方案内容较差，科学合理性差，针对性较差得4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r>
      <w:tr>
        <w:trPr>
          <w:trHeight w:val="144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软件系统租用和应用服务方案</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14:ligatures w14:val="none"/>
              </w:rPr>
            </w:pPr>
            <w:r>
              <w:t xml:space="preserve">软件系统租用和应用服务方案：本项目针对方案内容进行综合评审，方案内容需包含实现涉及全市应急舆情事件的推送和提醒，保障数据流、电子文件流转的安全性，监控视频接入、共享视频资源、AI接入、应用软件视频、AI事件调用、保证应急管理信息系统的正常运行等。方案内容详实完整，科学合理性强，针对性强得10分；方案内容较详实完整，较科学合理，针对性较强得8分；方案内容稍有欠缺，科学合理欠缺，针对性一般得6分；方案内容较差，科学合理性差，针对性较差得4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r>
      <w:tr>
        <w:trPr>
          <w:trHeight w:val="168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2.3</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软件系统运维管理方案</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14:ligatures w14:val="none"/>
              </w:rPr>
            </w:pPr>
            <w:r>
              <w:t xml:space="preserve">软件系统运维管理方案：根据投标人提供的软件系统运维管理方案，就其软件系统建设和应用熟悉理解程度、开展新改扩建信息化项目实施、制定数据库建设标准并监督实施、加强信息系统应用分析促使提升系统功能和数据质量和应用水平人员安排、应用培训指导、基础数据更新、预警信息发布、数据分析应用审核等服务进行综合评审。方案内容详实完整，科学合理性强，针对性强得8分；方案内容较详实完整，较科学合理，针对性较强得6分；方案内容稍有欠缺，科学合理欠缺，针对性一般得4分；方案内容较差，科学合理性差，针对性较差得2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r>
      <w:tr>
        <w:trPr>
          <w:trHeight w:val="160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数据治理方案</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14:ligatures w14:val="none"/>
              </w:rPr>
            </w:pPr>
            <w:r>
              <w:t xml:space="preserve">数据治理方案：</w:t>
            </w:r>
            <w:r>
              <w:t xml:space="preserve">本项目针对方案内容进行综合评审，方案内容需包含</w:t>
            </w:r>
            <w:r>
              <w:t xml:space="preserve">常州市应急管理信息系统与省应急管理资源平台、市大数据中心、政务服务平台以及其他各部门、区县、乡镇平台数据资源对接共享方案及安全生产业务数据分析方案。</w:t>
            </w:r>
            <w:r>
              <w:t xml:space="preserve">方案内容详实完整，科学合理性强，针对性强得8分；方案内容较详实完整，较科学合理，针对性较强得6分；方案内容稍有欠缺，科学合理欠缺，针对性一般得4分；方案内容较差，科学合理性差，针对性较差得2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否</w:t>
            </w:r>
            <w:r/>
          </w:p>
        </w:tc>
      </w:tr>
      <w:tr>
        <w:trPr>
          <w:trHeight w:val="12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网络安全技术服务方案</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rFonts w:hint="eastAsia" w:ascii="宋体" w:hAnsi="宋体" w:cs="宋体"/>
                <w:sz w:val="20"/>
                <w:szCs w:val="20"/>
              </w:rPr>
            </w:pPr>
            <w:r>
              <w:rPr>
                <w:rFonts w:hint="eastAsia" w:ascii="宋体" w:hAnsi="宋体" w:cs="宋体"/>
                <w:sz w:val="20"/>
                <w:szCs w:val="20"/>
              </w:rPr>
              <w:t xml:space="preserve">网络安全技术服务方案：投标人需充分了解应急管理局软件系统部署等情况。本项目针对方案内容进行综合评审，方案内容需包含云主机系统软件运行维护服务、渗透测试、重保防守、攻防演练、API综合治理等，方案内容详实完整，科学合理性强，针对性强得8分；方案内容较详实完整，较科学合理，针对性较强得6分；方案内容稍有欠缺，科学合理欠缺，针对性一般得4分；方案内容较差，科学合理性差，针对性较差得2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r>
      <w:tr>
        <w:trPr>
          <w:trHeight w:val="168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网络线路资源租用服务保障方案</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rFonts w:hint="eastAsia" w:ascii="宋体" w:hAnsi="宋体" w:cs="宋体"/>
                <w:sz w:val="20"/>
                <w:szCs w:val="20"/>
              </w:rPr>
            </w:pPr>
            <w:r>
              <w:rPr>
                <w:rFonts w:hint="eastAsia" w:ascii="宋体" w:hAnsi="宋体" w:cs="宋体"/>
                <w:sz w:val="20"/>
                <w:szCs w:val="20"/>
              </w:rPr>
              <w:t xml:space="preserve">网络线路资源租用服</w:t>
            </w:r>
            <w:r>
              <w:rPr>
                <w:rFonts w:hint="eastAsia" w:ascii="宋体" w:hAnsi="宋体" w:cs="宋体"/>
                <w:sz w:val="20"/>
                <w:szCs w:val="20"/>
              </w:rPr>
              <w:t xml:space="preserve">务保障方案：根据市应急管理局网络线路资源租用实际情况，结合应急管理局业务应用特点、网络安全风险防范等，因地制宜地编写本项目网络线路资源租用服务保障方案。现状熟悉理解充分，方案针对性强，具备实际可操作性，能够保证业务系统的安全可靠、稳定运行的，得8分；现状熟悉理解较充分,方案基本合理，针对性较强，基本具备实际可操作性，能够保证业务系统的运行的，得6分；现状熟悉理解一般、方案合理性一般，针对性一般，可实际操作性不强，但能够保证业务系统的运行的，得4分；方案内容较差，科学合理性差，针对性较差得2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r>
      <w:tr>
        <w:trPr>
          <w:trHeight w:val="96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2.7</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应急处理方案与能力</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rFonts w:hint="eastAsia" w:ascii="宋体" w:hAnsi="宋体" w:cs="宋体"/>
                <w:b/>
                <w:bCs/>
                <w:sz w:val="20"/>
                <w:szCs w:val="20"/>
              </w:rPr>
            </w:pPr>
            <w:r>
              <w:t xml:space="preserve">投标人提供的方案能同时包含投标人公司项目管理、项目质量保证、安全管理制度、潜在风险的预期、应急处理措施的，方案内容详实完整，科学合理性强，针对性强得6分；方案内容较详实完整，较科学合理，针对性较强得4分；方案内容稍有欠缺，科学合理欠缺，针对性一般得2分；不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否</w:t>
            </w:r>
            <w:r/>
          </w:p>
        </w:tc>
      </w:tr>
      <w:tr>
        <w:trPr>
          <w:trHeight w:val="84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商务分（客观分）</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27</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ascii="Times New Roman" w:hAnsi="Times New Roman" w:eastAsia="等线"/>
                <w:szCs w:val="21"/>
              </w:rPr>
            </w:pPr>
            <w:r>
              <w:rPr>
                <w:rFonts w:ascii="Times New Roman" w:hAnsi="Times New Roman" w:eastAsia="等线"/>
                <w:szCs w:val="21"/>
              </w:rPr>
              <w:t xml:space="preserve">　</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r>
      <w:tr>
        <w:trPr>
          <w:trHeight w:val="79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3.1</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技术保障服务业绩</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spacing w:after="0" w:line="240" w:lineRule="auto"/>
              <w:widowControl/>
              <w:rPr>
                <w14:ligatures w14:val="none"/>
              </w:rPr>
            </w:pPr>
            <w:r>
              <w:t xml:space="preserve">投标人2022年1月以来，承担过信息化项目运维服务，每提供一个合同得3分，最高得9分。注：提供合同</w:t>
            </w:r>
            <w:r>
              <w:t xml:space="preserve">扫描</w:t>
            </w:r>
            <w:r>
              <w:t xml:space="preserve">件并加盖投标人公章，未提供不得分。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r>
      <w:tr>
        <w:trPr>
          <w:trHeight w:val="48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体系认证</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rFonts w:hint="eastAsia" w:ascii="宋体" w:hAnsi="宋体" w:cs="宋体"/>
                <w:sz w:val="20"/>
                <w:szCs w:val="20"/>
              </w:rPr>
            </w:pPr>
            <w:r>
              <w:rPr>
                <w:rFonts w:hint="eastAsia" w:ascii="宋体" w:hAnsi="宋体" w:cs="宋体"/>
                <w:sz w:val="20"/>
                <w:szCs w:val="20"/>
              </w:rPr>
              <w:t xml:space="preserve">投标人具有有效的质量管理体系认证；得2分,最高得2分。没有不得分。</w:t>
            </w:r>
            <w:r>
              <w:rPr>
                <w:rFonts w:hint="eastAsia" w:ascii="宋体" w:hAnsi="宋体" w:cs="宋体"/>
                <w:sz w:val="20"/>
                <w:szCs w:val="20"/>
              </w:rPr>
              <w:br/>
              <w:t xml:space="preserve">注：提供有效</w:t>
            </w:r>
            <w:r>
              <w:rPr>
                <w:rFonts w:hint="eastAsia"/>
              </w:rPr>
              <w:t xml:space="preserve">证书扫描件并加盖投标人公章。</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 否</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r>
      <w:tr>
        <w:trPr>
          <w:trHeight w:val="72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3.3</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技术能力</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jc w:val="left"/>
              <w:spacing w:after="0" w:line="240" w:lineRule="auto"/>
              <w:widowControl/>
              <w:rPr>
                <w:rFonts w:hint="eastAsia" w:ascii="宋体" w:hAnsi="宋体" w:cs="宋体"/>
                <w:sz w:val="20"/>
                <w:szCs w:val="20"/>
              </w:rPr>
            </w:pPr>
            <w:r>
              <w:rPr>
                <w:rFonts w:hint="eastAsia" w:ascii="宋体" w:hAnsi="宋体" w:cs="宋体"/>
                <w:sz w:val="20"/>
                <w:szCs w:val="20"/>
              </w:rPr>
              <w:t xml:space="preserve">投标人具有政务大数据相关软件著作权证书，每提供1个得2分，最高得8分；未提供不得分。软件著作权关键字不同，但内容与采购标的相符的，提供相关证明材料，由评标委员会判定。投标人需提供相关软件著作权登记证书扫描件加盖投标人公章，否则不得分。</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否</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r>
      <w:tr>
        <w:trPr>
          <w:trHeight w:val="762"/>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项目经理</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spacing w:after="0" w:line="240" w:lineRule="auto"/>
              <w:widowControl/>
              <w:rPr>
                <w:rFonts w:hint="eastAsia" w:ascii="宋体" w:hAnsi="宋体" w:cs="宋体"/>
                <w:sz w:val="20"/>
                <w:szCs w:val="20"/>
              </w:rPr>
            </w:pPr>
            <w:r>
              <w:rPr>
                <w:rFonts w:hint="eastAsia" w:ascii="宋体" w:hAnsi="宋体" w:cs="宋体"/>
                <w:sz w:val="20"/>
                <w:szCs w:val="20"/>
              </w:rPr>
              <w:t xml:space="preserve">拟派项目经理1名，具有副高及以上高级工程师证书得5分，最高得5分。没有不得分。</w:t>
            </w:r>
            <w:r>
              <w:rPr>
                <w:rFonts w:hint="eastAsia" w:ascii="宋体" w:hAnsi="宋体" w:cs="宋体"/>
                <w:sz w:val="20"/>
                <w:szCs w:val="20"/>
              </w:rPr>
              <w:br/>
              <w:t xml:space="preserve">提供以上相关证书扫描件及投标人为其缴纳的近三个月任意一个月的社保证明的扫描件。</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否</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3.5</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项目运维管理负责人</w:t>
            </w:r>
            <w:r/>
          </w:p>
        </w:tc>
        <w:tc>
          <w:tcPr>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spacing w:after="0" w:line="240" w:lineRule="auto"/>
              <w:widowControl/>
              <w:rPr>
                <w:rFonts w:hint="eastAsia" w:ascii="宋体" w:hAnsi="宋体" w:cs="宋体"/>
                <w:sz w:val="20"/>
                <w:szCs w:val="20"/>
              </w:rPr>
            </w:pPr>
            <w:r>
              <w:rPr>
                <w:rFonts w:hint="eastAsia" w:ascii="宋体" w:hAnsi="宋体" w:cs="宋体"/>
                <w:sz w:val="20"/>
                <w:szCs w:val="20"/>
              </w:rPr>
              <w:t xml:space="preserve">拟派项目管理负责人1名，具有程序员证书得3分，最高得3分。没有不得分。</w:t>
            </w:r>
            <w:r>
              <w:rPr>
                <w:rFonts w:hint="eastAsia" w:ascii="宋体" w:hAnsi="宋体" w:cs="宋体"/>
                <w:sz w:val="20"/>
                <w:szCs w:val="20"/>
              </w:rPr>
              <w:br/>
              <w:t xml:space="preserve">提供以上相关证书扫描件及投标人为其缴纳的近三月任意一个月的社保证明的扫描件。</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0</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否</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val="false"/>
          </w:tcPr>
          <w:p>
            <w:pPr>
              <w:jc w:val="center"/>
              <w:spacing w:after="0" w:line="240" w:lineRule="auto"/>
              <w:widowControl/>
              <w:rPr>
                <w:rFonts w:hint="eastAsia" w:ascii="宋体" w:hAnsi="宋体" w:cs="宋体"/>
                <w:sz w:val="20"/>
                <w:szCs w:val="20"/>
              </w:rPr>
            </w:pPr>
            <w:r>
              <w:rPr>
                <w:rFonts w:hint="eastAsia" w:ascii="宋体" w:hAnsi="宋体" w:cs="宋体"/>
                <w:sz w:val="20"/>
                <w:szCs w:val="20"/>
              </w:rPr>
              <w:t xml:space="preserve">是</w:t>
            </w:r>
            <w:r/>
          </w:p>
        </w:tc>
      </w:tr>
    </w:tbl>
    <w:p>
      <w:pPr>
        <w:spacing w:after="0"/>
        <w:pBdr>
          <w:top w:val="none" w:color="000000" w:sz="0" w:space="0"/>
          <w:left w:val="none" w:color="000000" w:sz="0" w:space="0"/>
          <w:bottom w:val="none" w:color="000000" w:sz="0" w:space="0"/>
          <w:right w:val="none" w:color="000000" w:sz="0" w:space="0"/>
        </w:pBdr>
      </w:pPr>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rPr>
          <w:rFonts w:ascii="Times New Roman" w:hAnsi="Times New Roman" w:eastAsia="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rPr>
          <w:rFonts w:ascii="Times New Roman" w:hAnsi="Times New Roman" w:eastAsia="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r>
      <w:r/>
    </w:p>
    <w:p>
      <w:pPr>
        <w:spacing w:after="0"/>
        <w:rPr>
          <w:rFonts w:ascii="Times New Roman" w:hAnsi="Times New Roman" w:eastAsia="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r>
      <w:r/>
    </w:p>
    <w:p>
      <w:pPr>
        <w:spacing w:after="0"/>
        <w:rPr>
          <w:rFonts w:ascii="Times New Roman" w:hAnsi="Times New Roman" w:eastAsia="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r>
      <w:r/>
    </w:p>
    <w:p>
      <w:pPr>
        <w:spacing w:after="0"/>
        <w:rPr>
          <w:rFonts w:ascii="Times New Roman" w:hAnsi="Times New Roman" w:eastAsia="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r>
      <w:r/>
    </w:p>
    <w:p>
      <w:pPr>
        <w:spacing w:after="0"/>
        <w:rPr>
          <w:rFonts w:ascii="Times New Roman" w:hAnsi="Times New Roman" w:eastAsia="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w:t>
      </w:r>
      <w:r>
        <w:rPr>
          <w:rFonts w:eastAsia="黑体" w:cs="Calibri"/>
          <w:color w:val="000000"/>
          <w:sz w:val="44"/>
        </w:rPr>
        <w:t xml:space="preserve"> </w:t>
      </w:r>
      <w:r>
        <w:rPr>
          <w:rFonts w:ascii="黑体" w:hAnsi="黑体" w:eastAsia="黑体" w:cs="黑体"/>
          <w:color w:val="000000"/>
          <w:sz w:val="44"/>
        </w:rPr>
        <w:t xml:space="preserve"> 响应文件格式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响  应  文  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rPr>
          <w:rFonts w:hint="eastAsia" w:ascii="宋体" w:hAnsi="宋体" w:cs="宋体"/>
          <w:b/>
          <w:color w:val="000000"/>
          <w:sz w:val="36"/>
        </w:rPr>
        <w:t xml:space="preserve">   </w:t>
      </w:r>
      <w:r>
        <w:rPr>
          <w:rFonts w:ascii="宋体" w:hAnsi="宋体" w:cs="宋体"/>
          <w:b/>
          <w:color w:val="000000"/>
          <w:sz w:val="36"/>
        </w:rPr>
        <w:t xml:space="preserve"> 供应商名称 ：</w:t>
      </w:r>
      <w:r>
        <w:rPr>
          <w:rFonts w:ascii="宋体" w:hAnsi="宋体" w:cs="宋体"/>
          <w:b/>
          <w:color w:val="000000"/>
          <w:sz w:val="36"/>
          <w:u w:val="single"/>
        </w:rPr>
        <w:t xml:space="preserve">（加盖CA电子公章）</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rPr>
          <w:rFonts w:hint="eastAsia" w:ascii="宋体" w:hAnsi="宋体" w:cs="宋体"/>
          <w:b/>
          <w:color w:val="000000"/>
          <w:sz w:val="36"/>
        </w:rPr>
        <w:t xml:space="preserve">   </w:t>
      </w: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响应文件主要格式目录</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一、供应商资格声明函</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五、小微企业声明函</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六、残疾人福利性单位声明函或监狱企业证明</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八、分项报价表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十一、响应一览表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一、供应商资格声明函</w:t>
      </w:r>
      <w:r/>
    </w:p>
    <w:p>
      <w:pPr>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供应商资格声明函</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致：常州市政府采购中心</w:t>
      </w:r>
      <w:r/>
    </w:p>
    <w:p>
      <w:pPr>
        <w:ind w:firstLine="80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u w:val="single"/>
        </w:rPr>
        <w:t xml:space="preserve">（采购人名称）</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按照《中华人民共和国政府采购法》第二十二条和招标文件的规定，我单位郑重声明如下：</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一、我单位是按照中华人民共和国法律规定登记注册的，注册地点为</w:t>
      </w:r>
      <w:r>
        <w:rPr>
          <w:rFonts w:eastAsia="Calibri" w:cs="Calibri"/>
          <w:color w:val="000000"/>
          <w:sz w:val="20"/>
          <w:u w:val="single"/>
        </w:rPr>
        <w:t xml:space="preserve">         </w:t>
      </w:r>
      <w:r>
        <w:rPr>
          <w:rFonts w:ascii="宋体" w:hAnsi="宋体" w:cs="宋体"/>
          <w:color w:val="000000"/>
          <w:sz w:val="20"/>
        </w:rPr>
        <w:t xml:space="preserve">，全称为</w:t>
      </w:r>
      <w:r>
        <w:rPr>
          <w:rFonts w:eastAsia="Calibri" w:cs="Calibri"/>
          <w:color w:val="000000"/>
          <w:sz w:val="20"/>
          <w:u w:val="single"/>
        </w:rPr>
        <w:t xml:space="preserve">        </w:t>
      </w:r>
      <w:r>
        <w:rPr>
          <w:rFonts w:ascii="宋体" w:hAnsi="宋体" w:cs="宋体"/>
          <w:color w:val="000000"/>
          <w:sz w:val="20"/>
        </w:rPr>
        <w:t xml:space="preserve">，统一社会信用代码为</w:t>
      </w:r>
      <w:r>
        <w:rPr>
          <w:rFonts w:eastAsia="Calibri" w:cs="Calibri"/>
          <w:color w:val="000000"/>
          <w:sz w:val="20"/>
          <w:u w:val="single"/>
        </w:rPr>
        <w:t xml:space="preserve">           </w:t>
      </w:r>
      <w:r>
        <w:rPr>
          <w:rFonts w:eastAsia="Calibri" w:cs="Calibri"/>
          <w:color w:val="000000"/>
          <w:sz w:val="20"/>
        </w:rPr>
        <w:t xml:space="preserve"> </w:t>
      </w:r>
      <w:r>
        <w:rPr>
          <w:rFonts w:ascii="宋体" w:hAnsi="宋体" w:cs="宋体"/>
          <w:color w:val="000000"/>
          <w:sz w:val="20"/>
        </w:rPr>
        <w:t xml:space="preserve">，法定代表人（单位负责人）为</w:t>
      </w:r>
      <w:r>
        <w:rPr>
          <w:rFonts w:eastAsia="Calibri" w:cs="Calibri"/>
          <w:color w:val="000000"/>
          <w:sz w:val="20"/>
          <w:u w:val="single"/>
        </w:rPr>
        <w:t xml:space="preserve">         </w:t>
      </w:r>
      <w:r>
        <w:rPr>
          <w:rFonts w:ascii="宋体" w:hAnsi="宋体" w:cs="宋体"/>
          <w:color w:val="000000"/>
          <w:sz w:val="20"/>
        </w:rPr>
        <w:t xml:space="preserve">，具有独立承担民事责任的能力</w:t>
      </w:r>
      <w:r>
        <w:rPr>
          <w:rFonts w:ascii="宋体" w:hAnsi="宋体" w:cs="宋体"/>
          <w:b/>
          <w:i/>
          <w:color w:val="000000"/>
          <w:sz w:val="20"/>
          <w:u w:val="single"/>
        </w:rPr>
        <w:t xml:space="preserve">（如属于分公司经总公司授权参与项目，由总公司承担民事责任的，需提供总公司项目授权书）</w:t>
      </w:r>
      <w:r>
        <w:rPr>
          <w:rFonts w:ascii="宋体" w:hAnsi="宋体" w:cs="宋体"/>
          <w:color w:val="000000"/>
          <w:sz w:val="20"/>
        </w:rPr>
        <w:t xml:space="preserve">。</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二、我单位具有良好的商业信誉（指供应商经营状况良好，无本资格声明第十条情形）和健全的财务会计制度。</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三、我单位依法进行纳税和社会保险申报并实际履行了义务。</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四、我单位具有履行本项目采购合同所必需的设备和专业技术能力，并具有履行合同的良好记录。为履行本项采购合同我单位具备如下主要设备和主要专业技术能力</w:t>
      </w:r>
      <w:r>
        <w:rPr>
          <w:rFonts w:eastAsia="Calibri" w:cs="Calibri"/>
          <w:color w:val="000000"/>
          <w:sz w:val="20"/>
        </w:rPr>
        <w:t xml:space="preserve">:</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主要设备有：</w:t>
      </w:r>
      <w:r>
        <w:rPr>
          <w:rFonts w:eastAsia="Calibri" w:cs="Calibri"/>
          <w:color w:val="000000"/>
          <w:sz w:val="20"/>
          <w:u w:val="single"/>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主要专业技术能力有</w:t>
      </w:r>
      <w:r>
        <w:rPr>
          <w:rFonts w:eastAsia="Calibri" w:cs="Calibri"/>
          <w:color w:val="000000"/>
          <w:sz w:val="20"/>
          <w:u w:val="single"/>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Calibri" w:cs="Calibri"/>
          <w:color w:val="000000"/>
          <w:sz w:val="20"/>
        </w:rPr>
        <w:t xml:space="preserve">3</w:t>
      </w:r>
      <w:r>
        <w:rPr>
          <w:rFonts w:ascii="宋体" w:hAnsi="宋体" w:cs="宋体"/>
          <w:color w:val="000000"/>
          <w:sz w:val="20"/>
        </w:rPr>
        <w:t xml:space="preserve">年内因违法经营被禁止在一定期限内参加政府采购活动，期限届满的，可以参加政府采购活动。）</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六、我单位具备法律、行政法规规定的其他条件。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七、与我单位存在“单位负责人为同一人或者存在直接控股、管理关系”的其他单位信息如下（如无此情形的，填写“无”）：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1</w:t>
      </w:r>
      <w:r>
        <w:rPr>
          <w:rFonts w:ascii="宋体" w:hAnsi="宋体" w:cs="宋体"/>
          <w:color w:val="000000"/>
          <w:sz w:val="20"/>
        </w:rPr>
        <w:t xml:space="preserve">、与我单位的法定代表人（单位负责人）为同一人的其他单位如下：</w:t>
      </w:r>
      <w:r>
        <w:rPr>
          <w:rFonts w:eastAsia="Calibri" w:cs="Calibri"/>
          <w:color w:val="000000"/>
          <w:sz w:val="20"/>
          <w:u w:val="single"/>
        </w:rPr>
        <w:t xml:space="preserve">     </w:t>
      </w: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2</w:t>
      </w:r>
      <w:r>
        <w:rPr>
          <w:rFonts w:ascii="宋体" w:hAnsi="宋体" w:cs="宋体"/>
          <w:color w:val="000000"/>
          <w:sz w:val="20"/>
        </w:rPr>
        <w:t xml:space="preserve">、我单位直接控股的其他单位如下：</w:t>
      </w:r>
      <w:r>
        <w:rPr>
          <w:rFonts w:eastAsia="Calibri" w:cs="Calibri"/>
          <w:color w:val="000000"/>
          <w:sz w:val="20"/>
          <w:u w:val="single"/>
        </w:rPr>
        <w:t xml:space="preserve">                    </w:t>
      </w: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3</w:t>
      </w:r>
      <w:r>
        <w:rPr>
          <w:rFonts w:ascii="宋体" w:hAnsi="宋体" w:cs="宋体"/>
          <w:color w:val="000000"/>
          <w:sz w:val="20"/>
        </w:rPr>
        <w:t xml:space="preserve">、与我单位存在管理关系的其他单位如下：</w:t>
      </w:r>
      <w:r>
        <w:rPr>
          <w:rFonts w:eastAsia="Calibri" w:cs="Calibri"/>
          <w:color w:val="000000"/>
          <w:sz w:val="20"/>
          <w:u w:val="single"/>
        </w:rPr>
        <w:t xml:space="preserve">              </w:t>
      </w: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八、我单位不属于为本项目提供整体设计、规范编制或者项目管理、监理、检测等服务的供应</w:t>
      </w:r>
      <w:r>
        <w:rPr>
          <w:rFonts w:ascii="宋体" w:hAnsi="宋体" w:cs="宋体"/>
          <w:color w:val="000000"/>
          <w:sz w:val="20"/>
        </w:rPr>
        <w:t xml:space="preserve">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九、我单位无以下不良信用记录情形：</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1</w:t>
      </w:r>
      <w:r>
        <w:rPr>
          <w:rFonts w:ascii="宋体" w:hAnsi="宋体" w:cs="宋体"/>
          <w:color w:val="000000"/>
          <w:sz w:val="20"/>
        </w:rPr>
        <w:t xml:space="preserve">、在“信用中国”网站被列入失信被执行人和重大税收违法案件当事人名单；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2</w:t>
      </w:r>
      <w:r>
        <w:rPr>
          <w:rFonts w:ascii="宋体" w:hAnsi="宋体" w:cs="宋体"/>
          <w:color w:val="000000"/>
          <w:sz w:val="20"/>
        </w:rPr>
        <w:t xml:space="preserve">、在“中国政府采购网”网站被列入政府采购严重违法失信行为记录名单；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3</w:t>
      </w:r>
      <w:r>
        <w:rPr>
          <w:rFonts w:ascii="宋体" w:hAnsi="宋体" w:cs="宋体"/>
          <w:color w:val="000000"/>
          <w:sz w:val="20"/>
        </w:rPr>
        <w:t xml:space="preserve">、不符合《政府采购法》第二十二条规定的条件。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我单位保证上述声明的事项都是真实的，如有虚假，我单位愿意承担相应的法律责任，并承担因此所造成的一切损失。</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rPr>
          <w:rFonts w:ascii="宋体" w:hAnsi="宋体" w:cs="宋体"/>
          <w:color w:val="000000"/>
          <w:sz w:val="20"/>
        </w:rPr>
        <w:t xml:space="preserve">供应商：（加盖公章）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rPr>
          <w:rFonts w:ascii="宋体" w:hAnsi="宋体" w:cs="宋体"/>
          <w:color w:val="000000"/>
          <w:sz w:val="20"/>
        </w:rPr>
        <w:t xml:space="preserve">法定代表人（或单位负责人）签字或盖章：</w:t>
      </w:r>
      <w:r/>
    </w:p>
    <w:p>
      <w:pPr>
        <w:ind w:firstLine="410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日期：年</w:t>
      </w:r>
      <w:r>
        <w:rPr>
          <w:rFonts w:eastAsia="Calibri" w:cs="Calibri"/>
          <w:color w:val="000000"/>
          <w:sz w:val="20"/>
        </w:rPr>
        <w:t xml:space="preserve">   </w:t>
      </w:r>
      <w:r>
        <w:rPr>
          <w:rFonts w:ascii="宋体" w:hAnsi="宋体" w:cs="宋体"/>
          <w:color w:val="000000"/>
          <w:sz w:val="20"/>
        </w:rPr>
        <w:t xml:space="preserve">月日</w:t>
      </w:r>
      <w:r/>
    </w:p>
    <w:p>
      <w:pPr>
        <w:spacing w:after="0"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说明：供应商承诺不实的，依据《政府采购法》第七十七条“提供虚假材料谋取中标、成交的”有关规定予以处理。</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i/>
          <w:color w:val="000000"/>
          <w:sz w:val="32"/>
          <w:u w:val="single"/>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i/>
          <w:color w:val="000000"/>
          <w:sz w:val="32"/>
          <w:u w:val="single"/>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left="480"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ascii="Times New Roman" w:hAnsi="Times New Roman" w:eastAsia="Times New Roman"/>
          <w:color w:val="000000"/>
          <w:sz w:val="24"/>
        </w:rPr>
        <w:t xml:space="preserve">____________</w:t>
      </w:r>
      <w:r>
        <w:rPr>
          <w:rFonts w:ascii="宋体" w:hAnsi="宋体" w:cs="宋体"/>
          <w:color w:val="000000"/>
          <w:sz w:val="24"/>
        </w:rPr>
        <w:t xml:space="preserve">（供应商名称）授权</w:t>
      </w:r>
      <w:r>
        <w:rPr>
          <w:rFonts w:ascii="Times New Roman" w:hAnsi="Times New Roman" w:eastAsia="Times New Roman"/>
          <w:color w:val="000000"/>
          <w:sz w:val="24"/>
        </w:rPr>
        <w:t xml:space="preserve">________________</w:t>
      </w:r>
      <w:r>
        <w:rPr>
          <w:rFonts w:ascii="宋体" w:hAnsi="宋体" w:cs="宋体"/>
          <w:color w:val="000000"/>
          <w:sz w:val="24"/>
        </w:rPr>
        <w:t xml:space="preserve">（被授权人的姓名）为我方就</w:t>
      </w:r>
      <w:r>
        <w:rPr>
          <w:rFonts w:ascii="Times New Roman" w:hAnsi="Times New Roman" w:eastAsia="Times New Roman"/>
          <w:color w:val="000000"/>
          <w:sz w:val="24"/>
        </w:rPr>
        <w:t xml:space="preserve">JSZC-</w:t>
      </w:r>
      <w:r>
        <w:rPr>
          <w:rFonts w:ascii="Times New Roman" w:hAnsi="Times New Roman"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left="480"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ascii="Times New Roman" w:hAnsi="Times New Roman" w:eastAsia="Times New Roman"/>
          <w:color w:val="000000"/>
          <w:sz w:val="24"/>
        </w:rPr>
        <w:t xml:space="preserve">______</w:t>
      </w:r>
      <w:r>
        <w:rPr>
          <w:rFonts w:ascii="宋体" w:hAnsi="宋体" w:cs="宋体"/>
          <w:color w:val="000000"/>
          <w:sz w:val="24"/>
        </w:rPr>
        <w:t xml:space="preserve">年</w:t>
      </w:r>
      <w:r>
        <w:rPr>
          <w:rFonts w:ascii="Times New Roman" w:hAnsi="Times New Roman" w:eastAsia="Times New Roman"/>
          <w:color w:val="000000"/>
          <w:sz w:val="24"/>
        </w:rPr>
        <w:t xml:space="preserve">____</w:t>
      </w:r>
      <w:r>
        <w:rPr>
          <w:rFonts w:ascii="宋体" w:hAnsi="宋体" w:cs="宋体"/>
          <w:color w:val="000000"/>
          <w:sz w:val="24"/>
        </w:rPr>
        <w:t xml:space="preserve">月</w:t>
      </w:r>
      <w:r>
        <w:rPr>
          <w:rFonts w:ascii="Times New Roman" w:hAnsi="Times New Roman" w:eastAsia="Times New Roman"/>
          <w:color w:val="000000"/>
          <w:sz w:val="24"/>
        </w:rPr>
        <w:t xml:space="preserve">____</w:t>
      </w:r>
      <w:r>
        <w:rPr>
          <w:rFonts w:ascii="宋体" w:hAnsi="宋体" w:cs="宋体"/>
          <w:color w:val="000000"/>
          <w:sz w:val="24"/>
        </w:rPr>
        <w:t xml:space="preserve">日起生效，特此声明。</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被授权人身份证号码：</w:t>
      </w:r>
      <w:r>
        <w:rPr>
          <w:rFonts w:ascii="Times New Roman" w:hAnsi="Times New Roman" w:eastAsia="Times New Roman"/>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被授权人联系电话：（手机）</w:t>
      </w:r>
      <w:r>
        <w:rPr>
          <w:rFonts w:ascii="Times New Roman" w:hAnsi="Times New Roman" w:eastAsia="Times New Roman"/>
          <w:color w:val="000000"/>
          <w:sz w:val="24"/>
          <w:u w:val="single"/>
        </w:rPr>
        <w:t xml:space="preserve">                          </w:t>
      </w:r>
      <w:r/>
    </w:p>
    <w:p>
      <w:pPr>
        <w:ind w:firstLine="12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ascii="Times New Roman" w:hAnsi="Times New Roman" w:eastAsia="Times New Roman"/>
          <w:color w:val="000000"/>
          <w:sz w:val="24"/>
          <w:u w:val="single"/>
        </w:rPr>
        <w:t xml:space="preserve">CA</w:t>
      </w:r>
      <w:r>
        <w:rPr>
          <w:rFonts w:ascii="宋体" w:hAnsi="宋体" w:cs="宋体"/>
          <w:color w:val="000000"/>
          <w:sz w:val="24"/>
          <w:u w:val="single"/>
        </w:rPr>
        <w:t xml:space="preserve">电子公章）</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单位地址：</w:t>
      </w: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日期：</w:t>
      </w: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四、磋商响应函</w:t>
      </w:r>
      <w:r/>
    </w:p>
    <w:p>
      <w:pPr>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 </w:t>
      </w:r>
      <w:r>
        <w:rPr>
          <w:rFonts w:ascii="宋体" w:hAnsi="宋体" w:cs="宋体"/>
          <w:b/>
          <w:color w:val="000000"/>
          <w:sz w:val="36"/>
          <w:u w:val="single"/>
        </w:rPr>
        <w:t xml:space="preserve">    </w:t>
      </w:r>
      <w:r>
        <w:rPr>
          <w:rFonts w:ascii="宋体" w:hAnsi="宋体" w:cs="宋体"/>
          <w:color w:val="000000"/>
          <w:sz w:val="24"/>
        </w:rPr>
        <w:t xml:space="preserve">号磋商文件，正式授权下述被授权人______(姓名)代表我方______________（供应商的名称），全权处理本次项目磋商的有关事宜。</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据此函，__________被授权人兹宣布同意如下：</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1.按磋商文件规定的各项要求，向买方提供所需货物、服务（包含与货物相关的服务及与服务相关的货物）。</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2.我们完全理解贵方不一定将合同授予最低报价的供应商。</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3.我们已详细审核全部磋商文件及其有效补充文件，我们知道必须放弃提出含糊不清或误解问题的权利。</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4.我们同意从规定的开标日期起遵循本响应文件，并在规定的磋商有效期期满之前均具有约束力。</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5.同意向贵方提供贵方可能另外要求的与磋商有关的任何证据或资料，并保证我方已提供和将要提供的文件是真实的、准确的。</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6.一旦我方成交,我方将根据磋商文件的规定，严格履行合同的责任和义务,并保证在磋商文件规定的时间完成项目，交付买方验收、使用。</w:t>
      </w:r>
      <w:r/>
    </w:p>
    <w:p>
      <w:pPr>
        <w:ind w:left="425"/>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7.我方与本磋商有关的正式通讯地址为：</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供应商开户行：</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五、小微企业声明函（服务）（分包号：**）</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w:t>
      </w:r>
      <w:r>
        <w:rPr>
          <w:rFonts w:ascii="宋体" w:hAnsi="宋体" w:cs="宋体"/>
          <w:color w:val="000000"/>
          <w:sz w:val="24"/>
        </w:rPr>
        <w:t xml:space="preserve">[2020]46号)的规定，本公司（联合体）参加常州市政府采购中心组织的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cs="宋体"/>
          <w:color w:val="000000"/>
          <w:sz w:val="24"/>
          <w:szCs w:val="21"/>
          <w:u w:val="single"/>
        </w:rPr>
        <w:t xml:space="preserve">软件</w:t>
      </w:r>
      <w:r>
        <w:rPr>
          <w:rFonts w:ascii="宋体" w:hAnsi="宋体" w:cs="宋体"/>
          <w:color w:val="000000"/>
          <w:sz w:val="24"/>
          <w:szCs w:val="21"/>
          <w:u w:val="single"/>
        </w:rPr>
        <w:t xml:space="preserve">和信息技术</w:t>
      </w:r>
      <w:r>
        <w:rPr>
          <w:rFonts w:hint="eastAsia" w:ascii="宋体" w:hAnsi="宋体" w:cs="宋体"/>
          <w:color w:val="000000"/>
          <w:sz w:val="24"/>
          <w:szCs w:val="21"/>
          <w:u w:val="single"/>
        </w:rPr>
        <w:t xml:space="preserve">服务</w:t>
      </w:r>
      <w:r>
        <w:rPr>
          <w:rFonts w:ascii="宋体" w:hAnsi="宋体" w:cs="宋体"/>
          <w:color w:val="000000"/>
          <w:sz w:val="24"/>
          <w:szCs w:val="21"/>
          <w:u w:val="single"/>
        </w:rPr>
        <w:t xml:space="preserve">业</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备注2：供应商如不提供此声明函，价格将不做相应扣除。成交供应商为小微企业的，此声明函将随成交结果同时公告，接受社会监督。</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六、残疾人福利性单位声明函（分包号：**）</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（备注：1、供应商如不提供此声明函，价格将不做相应扣除。2、成交供应商为残疾人福利单位的，此声明函将随成交结果同时公告，接受社会监督）</w:t>
      </w:r>
      <w:r/>
    </w:p>
    <w:p>
      <w:pPr>
        <w:ind w:firstLine="624"/>
        <w:spacing w:after="0" w:line="587" w:lineRule="atLeast"/>
        <w:pBdr>
          <w:top w:val="none" w:color="000000" w:sz="0" w:space="0"/>
          <w:left w:val="none" w:color="000000" w:sz="0" w:space="0"/>
          <w:bottom w:val="none" w:color="000000" w:sz="0" w:space="0"/>
          <w:right w:val="none" w:color="000000" w:sz="0" w:space="0"/>
        </w:pBdr>
      </w:pPr>
      <w:r>
        <w:rPr>
          <w:rFonts w:eastAsia="仿宋" w:cs="Calibri"/>
          <w:color w:val="000000"/>
          <w:spacing w:val="6"/>
          <w:sz w:val="30"/>
        </w:rPr>
        <w:t xml:space="preserve"> </w:t>
      </w:r>
      <w:r/>
    </w:p>
    <w:p>
      <w:pPr>
        <w:ind w:right="1560" w:firstLine="624"/>
        <w:jc w:val="center"/>
        <w:spacing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eastAsia="仿宋" w:cs="Calibri"/>
          <w:color w:val="000000"/>
          <w:spacing w:val="6"/>
          <w:sz w:val="30"/>
        </w:rPr>
        <w:t xml:space="preserve">            </w:t>
      </w: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60" w:firstLine="480"/>
        <w:jc w:val="center"/>
        <w:spacing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ind w:firstLine="643"/>
        <w:spacing w:after="0"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监狱企业证明文件。</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备注：本磋商文件中要求加盖CA电子公章的地方，仅需加盖牵头单位的CA电子公章。</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spacing w:after="0"/>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八、分项报价表（分包号：**）（服务类）</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jc w:val="left"/>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tbl>
      <w:tblPr>
        <w:tblStyle w:val="785"/>
        <w:tblW w:w="72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34"/>
        <w:gridCol w:w="1080"/>
        <w:gridCol w:w="1676"/>
        <w:gridCol w:w="757"/>
        <w:gridCol w:w="646"/>
        <w:gridCol w:w="809"/>
        <w:gridCol w:w="1419"/>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服务期限或者交付期：</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78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5"/>
        <w:gridCol w:w="3051"/>
        <w:gridCol w:w="2644"/>
        <w:gridCol w:w="1212"/>
        <w:gridCol w:w="194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spacing w:after="0" w:line="240" w:lineRule="auto"/>
              <w:pBdr>
                <w:top w:val="none" w:color="000000" w:sz="0" w:space="0"/>
                <w:left w:val="none" w:color="000000" w:sz="0" w:space="0"/>
                <w:bottom w:val="none" w:color="000000" w:sz="0" w:space="0"/>
                <w:right w:val="none" w:color="000000" w:sz="0" w:space="0"/>
              </w:pBdr>
            </w:pPr>
            <w:r>
              <w:rPr>
                <w:rFonts w:eastAsia="Calibri" w:cs="Calibri"/>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spacing w:after="0" w:line="240" w:lineRule="auto"/>
              <w:pBdr>
                <w:top w:val="none" w:color="000000" w:sz="0" w:space="0"/>
                <w:left w:val="none" w:color="000000" w:sz="0" w:space="0"/>
                <w:bottom w:val="none" w:color="000000" w:sz="0" w:space="0"/>
                <w:right w:val="none" w:color="000000" w:sz="0" w:space="0"/>
              </w:pBdr>
            </w:pPr>
            <w:r>
              <w:rPr>
                <w:rFonts w:eastAsia="Calibri" w:cs="Calibri"/>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6"/>
        </w:rPr>
        <w:t xml:space="preserve"> </w:t>
      </w:r>
      <w:r/>
    </w:p>
    <w:p>
      <w:pPr>
        <w:spacing w:after="0"/>
        <w:pBdr>
          <w:top w:val="none" w:color="000000" w:sz="0" w:space="0"/>
          <w:left w:val="none" w:color="000000" w:sz="0" w:space="0"/>
          <w:bottom w:val="none" w:color="000000" w:sz="0" w:space="0"/>
          <w:right w:val="none" w:color="000000" w:sz="0" w:space="0"/>
        </w:pBdr>
      </w:pPr>
      <w:r>
        <w:rPr>
          <w:rFonts w:eastAsia="黑体"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eastAsia="黑体"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eastAsia="黑体"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eastAsia="黑体"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eastAsia="黑体" w:cs="Calibri"/>
          <w:color w:val="000000"/>
          <w:sz w:val="32"/>
        </w:rPr>
        <w:t xml:space="preserve"> </w:t>
      </w:r>
      <w:r/>
    </w:p>
    <w:p>
      <w:pPr>
        <w:jc w:val="center"/>
        <w:spacing w:after="0"/>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p>
      <w:pPr>
        <w:jc w:val="center"/>
        <w:spacing w:after="0"/>
        <w:pBdr>
          <w:top w:val="none" w:color="000000" w:sz="0" w:space="0"/>
          <w:left w:val="none" w:color="000000" w:sz="0" w:space="0"/>
          <w:bottom w:val="none" w:color="000000" w:sz="0" w:space="0"/>
          <w:right w:val="none" w:color="000000" w:sz="0" w:space="0"/>
        </w:pBdr>
      </w:pPr>
      <w:r/>
      <w:r/>
    </w:p>
    <w:tbl>
      <w:tblPr>
        <w:tblStyle w:val="78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5"/>
        <w:gridCol w:w="3051"/>
        <w:gridCol w:w="2644"/>
        <w:gridCol w:w="1212"/>
        <w:gridCol w:w="194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spacing w:after="0" w:line="240" w:lineRule="auto"/>
              <w:pBdr>
                <w:top w:val="none" w:color="000000" w:sz="0" w:space="0"/>
                <w:left w:val="none" w:color="000000" w:sz="0" w:space="0"/>
                <w:bottom w:val="none" w:color="000000" w:sz="0" w:space="0"/>
                <w:right w:val="none" w:color="000000" w:sz="0" w:space="0"/>
              </w:pBdr>
            </w:pPr>
            <w:r>
              <w:rPr>
                <w:rFonts w:eastAsia="Calibri" w:cs="Calibri"/>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spacing w:after="0" w:line="240" w:lineRule="auto"/>
              <w:pBdr>
                <w:top w:val="none" w:color="000000" w:sz="0" w:space="0"/>
                <w:left w:val="none" w:color="000000" w:sz="0" w:space="0"/>
                <w:bottom w:val="none" w:color="000000" w:sz="0" w:space="0"/>
                <w:right w:val="none" w:color="000000" w:sz="0" w:space="0"/>
              </w:pBdr>
            </w:pPr>
            <w:r>
              <w:rPr>
                <w:rFonts w:eastAsia="Calibri" w:cs="Calibri"/>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十一、响应一览表</w:t>
      </w:r>
      <w:r>
        <w:rPr>
          <w:rFonts w:ascii="黑体" w:hAnsi="黑体" w:eastAsia="黑体" w:cs="黑体"/>
          <w:i/>
          <w:color w:val="000000"/>
          <w:sz w:val="32"/>
          <w:u w:val="single"/>
        </w:rPr>
        <w:t xml:space="preserve">（实质性格式）</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785"/>
        <w:tblW w:w="82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85"/>
        <w:tblW w:w="864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49"/>
        <w:gridCol w:w="2730"/>
        <w:gridCol w:w="4969"/>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w:t>
            </w:r>
            <w:r>
              <w:rPr>
                <w:rFonts w:ascii="宋体" w:hAnsi="宋体" w:cs="宋体"/>
                <w:b/>
                <w:color w:val="000000"/>
              </w:rPr>
              <w:t xml:space="preserve">《投标（响应）文件格式》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spacing w:after="0" w:line="57" w:lineRule="atLeast"/>
            </w:pPr>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w:t>
            </w:r>
            <w:r>
              <w:rPr>
                <w:rFonts w:hint="eastAsia"/>
              </w:rPr>
              <w:t xml:space="preserve">gov.cn</w:t>
            </w:r>
            <w:r>
              <w:rPr>
                <w:rFonts w:hint="eastAsia"/>
              </w:rPr>
              <w:t xml:space="preserve">），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w:t>
            </w:r>
            <w:r>
              <w:rPr>
                <w:rFonts w:ascii="宋体" w:hAnsi="宋体" w:cs="宋体"/>
                <w:color w:val="000000"/>
              </w:rPr>
              <w:t xml:space="preserve">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rPr>
                <w:rFonts w:ascii="宋体" w:hAnsi="宋体" w:cs="宋体"/>
                <w:b/>
                <w:color w:val="ff0000"/>
              </w:rPr>
              <w:t xml:space="preserve">（如是属于非专门面向中小企业预留份额的项目，无需提供）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spacing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left"/>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spacing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小微企业声明函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属于小微企业的提供符合招标（采购）文件要求的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。(格式见《投标（响应）文件格式》)</w:t>
            </w:r>
            <w:r>
              <w:rPr>
                <w:rFonts w:ascii="宋体" w:hAnsi="宋体" w:cs="宋体"/>
                <w:b/>
                <w:color w:val="ff0000"/>
              </w:rPr>
              <w:t xml:space="preserve">（如是属于专门面向中小企业预留份额的项目，该项删除）</w:t>
            </w:r>
            <w:r/>
          </w:p>
        </w:tc>
      </w:tr>
    </w:tbl>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黑体"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华文新魏">
    <w:panose1 w:val="02010800040101010101"/>
  </w:font>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方正仿宋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41"/>
        <w:rFonts w:hint="eastAsia"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１０</w:t>
    </w:r>
    <w:r>
      <w:rPr>
        <w:rFonts w:ascii="宋体" w:hAnsi="宋体"/>
      </w:rPr>
      <w:fldChar w:fldCharType="end"/>
    </w:r>
    <w:r/>
  </w:p>
  <w:p>
    <w:pPr>
      <w:pStyle w:val="101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3">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47"/>
    <w:uiPriority w:val="10"/>
    <w:rPr>
      <w:sz w:val="48"/>
      <w:szCs w:val="48"/>
    </w:rPr>
  </w:style>
  <w:style w:type="character" w:styleId="698">
    <w:name w:val="Subtitle Char"/>
    <w:basedOn w:val="735"/>
    <w:link w:val="749"/>
    <w:uiPriority w:val="11"/>
    <w:rPr>
      <w:sz w:val="24"/>
      <w:szCs w:val="24"/>
    </w:rPr>
  </w:style>
  <w:style w:type="character" w:styleId="699">
    <w:name w:val="Quote Char"/>
    <w:link w:val="751"/>
    <w:uiPriority w:val="29"/>
    <w:rPr>
      <w:i/>
    </w:rPr>
  </w:style>
  <w:style w:type="character" w:styleId="700">
    <w:name w:val="Intense Quote Char"/>
    <w:link w:val="755"/>
    <w:uiPriority w:val="30"/>
    <w:rPr>
      <w:i/>
    </w:rPr>
  </w:style>
  <w:style w:type="character" w:styleId="701">
    <w:name w:val="Header Char"/>
    <w:basedOn w:val="735"/>
    <w:link w:val="758"/>
    <w:uiPriority w:val="99"/>
  </w:style>
  <w:style w:type="character" w:styleId="702">
    <w:name w:val="Caption Char"/>
    <w:basedOn w:val="763"/>
    <w:link w:val="760"/>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73"/>
    <w:uiPriority w:val="99"/>
    <w:rPr>
      <w:sz w:val="18"/>
    </w:rPr>
  </w:style>
  <w:style w:type="character" w:styleId="723">
    <w:name w:val="Endnote Text Char"/>
    <w:link w:val="769"/>
    <w:uiPriority w:val="99"/>
    <w:rPr>
      <w:sz w:val="20"/>
    </w:rPr>
  </w:style>
  <w:style w:type="paragraph" w:styleId="724">
    <w:name w:val="TOC Heading"/>
    <w:uiPriority w:val="39"/>
    <w:unhideWhenUsed/>
  </w:style>
  <w:style w:type="paragraph" w:styleId="725" w:default="1">
    <w:name w:val="Normal"/>
    <w:qFormat/>
    <w:pPr>
      <w:jc w:val="both"/>
      <w:spacing w:after="160" w:line="278" w:lineRule="auto"/>
      <w:widowControl w:val="off"/>
    </w:pPr>
    <w:rPr>
      <w:rFonts w:ascii="Calibri" w:hAnsi="Calibri" w:eastAsia="宋体" w:cs="Times New Roman"/>
    </w:rPr>
  </w:style>
  <w:style w:type="paragraph" w:styleId="726">
    <w:name w:val="Heading 1"/>
    <w:basedOn w:val="725"/>
    <w:next w:val="725"/>
    <w:link w:val="738"/>
    <w:uiPriority w:val="9"/>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727">
    <w:name w:val="Heading 2"/>
    <w:basedOn w:val="725"/>
    <w:next w:val="725"/>
    <w:link w:val="739"/>
    <w:uiPriority w:val="9"/>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728">
    <w:name w:val="Heading 3"/>
    <w:basedOn w:val="725"/>
    <w:next w:val="725"/>
    <w:link w:val="740"/>
    <w:uiPriority w:val="9"/>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729">
    <w:name w:val="Heading 4"/>
    <w:basedOn w:val="725"/>
    <w:next w:val="725"/>
    <w:link w:val="741"/>
    <w:uiPriority w:val="9"/>
    <w:unhideWhenUsed/>
    <w:qFormat/>
    <w:pPr>
      <w:keepLines/>
      <w:keepNext/>
      <w:spacing w:before="80" w:after="40"/>
      <w:outlineLvl w:val="3"/>
    </w:pPr>
    <w:rPr>
      <w:rFonts w:cstheme="majorBidi"/>
      <w:color w:val="0f4761" w:themeColor="accent1" w:themeShade="BF"/>
      <w:sz w:val="28"/>
      <w:szCs w:val="28"/>
    </w:rPr>
  </w:style>
  <w:style w:type="paragraph" w:styleId="730">
    <w:name w:val="Heading 5"/>
    <w:basedOn w:val="725"/>
    <w:next w:val="725"/>
    <w:link w:val="742"/>
    <w:uiPriority w:val="9"/>
    <w:unhideWhenUsed/>
    <w:qFormat/>
    <w:pPr>
      <w:keepLines/>
      <w:keepNext/>
      <w:spacing w:before="80" w:after="40"/>
      <w:outlineLvl w:val="4"/>
    </w:pPr>
    <w:rPr>
      <w:rFonts w:cstheme="majorBidi"/>
      <w:color w:val="0f4761" w:themeColor="accent1" w:themeShade="BF"/>
      <w:sz w:val="24"/>
      <w:szCs w:val="24"/>
    </w:rPr>
  </w:style>
  <w:style w:type="paragraph" w:styleId="731">
    <w:name w:val="Heading 6"/>
    <w:basedOn w:val="725"/>
    <w:next w:val="725"/>
    <w:link w:val="743"/>
    <w:uiPriority w:val="9"/>
    <w:unhideWhenUsed/>
    <w:qFormat/>
    <w:pPr>
      <w:keepLines/>
      <w:keepNext/>
      <w:spacing w:before="40"/>
      <w:outlineLvl w:val="5"/>
    </w:pPr>
    <w:rPr>
      <w:rFonts w:cstheme="majorBidi"/>
      <w:b/>
      <w:bCs/>
      <w:color w:val="0f4761" w:themeColor="accent1" w:themeShade="BF"/>
    </w:rPr>
  </w:style>
  <w:style w:type="paragraph" w:styleId="732">
    <w:name w:val="Heading 7"/>
    <w:basedOn w:val="725"/>
    <w:next w:val="725"/>
    <w:link w:val="744"/>
    <w:uiPriority w:val="9"/>
    <w:unhideWhenUsed/>
    <w:qFormat/>
    <w:pPr>
      <w:keepLines/>
      <w:keepNext/>
      <w:spacing w:before="40"/>
      <w:outlineLvl w:val="6"/>
    </w:pPr>
    <w:rPr>
      <w:rFonts w:cstheme="majorBidi"/>
      <w:b/>
      <w:bCs/>
      <w:color w:val="595959" w:themeColor="text1" w:themeTint="A6"/>
    </w:rPr>
  </w:style>
  <w:style w:type="paragraph" w:styleId="733">
    <w:name w:val="Heading 8"/>
    <w:basedOn w:val="725"/>
    <w:next w:val="725"/>
    <w:link w:val="745"/>
    <w:uiPriority w:val="9"/>
    <w:unhideWhenUsed/>
    <w:qFormat/>
    <w:pPr>
      <w:keepLines/>
      <w:keepNext/>
      <w:outlineLvl w:val="7"/>
    </w:pPr>
    <w:rPr>
      <w:rFonts w:cstheme="majorBidi"/>
      <w:color w:val="595959" w:themeColor="text1" w:themeTint="A6"/>
    </w:rPr>
  </w:style>
  <w:style w:type="paragraph" w:styleId="734">
    <w:name w:val="Heading 9"/>
    <w:basedOn w:val="725"/>
    <w:next w:val="725"/>
    <w:link w:val="746"/>
    <w:uiPriority w:val="9"/>
    <w:unhideWhenUsed/>
    <w:qFormat/>
    <w:pPr>
      <w:keepLines/>
      <w:keepNext/>
      <w:outlineLvl w:val="8"/>
    </w:pPr>
    <w:rPr>
      <w:rFonts w:eastAsiaTheme="majorEastAsia" w:cstheme="majorBidi"/>
      <w:color w:val="595959" w:themeColor="text1" w:themeTint="A6"/>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character" w:styleId="738" w:customStyle="1">
    <w:name w:val="标题 1 字符"/>
    <w:basedOn w:val="735"/>
    <w:link w:val="726"/>
    <w:uiPriority w:val="9"/>
    <w:qFormat/>
    <w:rPr>
      <w:rFonts w:asciiTheme="majorHAnsi" w:hAnsiTheme="majorHAnsi" w:eastAsiaTheme="majorEastAsia" w:cstheme="majorBidi"/>
      <w:color w:val="0f4761" w:themeColor="accent1" w:themeShade="BF"/>
      <w:sz w:val="48"/>
      <w:szCs w:val="48"/>
    </w:rPr>
  </w:style>
  <w:style w:type="character" w:styleId="739" w:customStyle="1">
    <w:name w:val="标题 2 字符"/>
    <w:basedOn w:val="735"/>
    <w:link w:val="727"/>
    <w:uiPriority w:val="9"/>
    <w:qFormat/>
    <w:rPr>
      <w:rFonts w:asciiTheme="majorHAnsi" w:hAnsiTheme="majorHAnsi" w:eastAsiaTheme="majorEastAsia" w:cstheme="majorBidi"/>
      <w:color w:val="0f4761" w:themeColor="accent1" w:themeShade="BF"/>
      <w:sz w:val="40"/>
      <w:szCs w:val="40"/>
    </w:rPr>
  </w:style>
  <w:style w:type="character" w:styleId="740" w:customStyle="1">
    <w:name w:val="标题 3 字符"/>
    <w:basedOn w:val="735"/>
    <w:link w:val="728"/>
    <w:uiPriority w:val="9"/>
    <w:qFormat/>
    <w:rPr>
      <w:rFonts w:asciiTheme="majorHAnsi" w:hAnsiTheme="majorHAnsi" w:eastAsiaTheme="majorEastAsia" w:cstheme="majorBidi"/>
      <w:color w:val="0f4761" w:themeColor="accent1" w:themeShade="BF"/>
      <w:sz w:val="32"/>
      <w:szCs w:val="32"/>
    </w:rPr>
  </w:style>
  <w:style w:type="character" w:styleId="741" w:customStyle="1">
    <w:name w:val="标题 4 字符"/>
    <w:basedOn w:val="735"/>
    <w:link w:val="729"/>
    <w:uiPriority w:val="9"/>
    <w:qFormat/>
    <w:rPr>
      <w:rFonts w:cstheme="majorBidi"/>
      <w:color w:val="0f4761" w:themeColor="accent1" w:themeShade="BF"/>
      <w:sz w:val="28"/>
      <w:szCs w:val="28"/>
    </w:rPr>
  </w:style>
  <w:style w:type="character" w:styleId="742" w:customStyle="1">
    <w:name w:val="标题 5 字符"/>
    <w:basedOn w:val="735"/>
    <w:link w:val="730"/>
    <w:uiPriority w:val="9"/>
    <w:qFormat/>
    <w:rPr>
      <w:rFonts w:cstheme="majorBidi"/>
      <w:color w:val="0f4761" w:themeColor="accent1" w:themeShade="BF"/>
      <w:sz w:val="24"/>
      <w:szCs w:val="24"/>
    </w:rPr>
  </w:style>
  <w:style w:type="character" w:styleId="743" w:customStyle="1">
    <w:name w:val="标题 6 字符"/>
    <w:basedOn w:val="735"/>
    <w:link w:val="731"/>
    <w:uiPriority w:val="9"/>
    <w:qFormat/>
    <w:rPr>
      <w:rFonts w:cstheme="majorBidi"/>
      <w:b/>
      <w:bCs/>
      <w:color w:val="0f4761" w:themeColor="accent1" w:themeShade="BF"/>
    </w:rPr>
  </w:style>
  <w:style w:type="character" w:styleId="744" w:customStyle="1">
    <w:name w:val="标题 7 字符"/>
    <w:basedOn w:val="735"/>
    <w:link w:val="732"/>
    <w:uiPriority w:val="9"/>
    <w:qFormat/>
    <w:rPr>
      <w:rFonts w:cstheme="majorBidi"/>
      <w:b/>
      <w:bCs/>
      <w:color w:val="595959" w:themeColor="text1" w:themeTint="A6"/>
    </w:rPr>
  </w:style>
  <w:style w:type="character" w:styleId="745" w:customStyle="1">
    <w:name w:val="标题 8 字符"/>
    <w:basedOn w:val="735"/>
    <w:link w:val="733"/>
    <w:uiPriority w:val="9"/>
    <w:qFormat/>
    <w:rPr>
      <w:rFonts w:cstheme="majorBidi"/>
      <w:color w:val="595959" w:themeColor="text1" w:themeTint="A6"/>
    </w:rPr>
  </w:style>
  <w:style w:type="character" w:styleId="746" w:customStyle="1">
    <w:name w:val="标题 9 字符"/>
    <w:basedOn w:val="735"/>
    <w:link w:val="734"/>
    <w:uiPriority w:val="9"/>
    <w:qFormat/>
    <w:rPr>
      <w:rFonts w:eastAsiaTheme="majorEastAsia" w:cstheme="majorBidi"/>
      <w:color w:val="595959" w:themeColor="text1" w:themeTint="A6"/>
    </w:rPr>
  </w:style>
  <w:style w:type="paragraph" w:styleId="747">
    <w:name w:val="Title"/>
    <w:basedOn w:val="725"/>
    <w:next w:val="725"/>
    <w:link w:val="748"/>
    <w:uiPriority w:val="10"/>
    <w:qFormat/>
    <w:pPr>
      <w:contextualSpacing/>
      <w:jc w:val="center"/>
      <w:spacing w:after="80"/>
    </w:pPr>
    <w:rPr>
      <w:rFonts w:asciiTheme="majorHAnsi" w:hAnsiTheme="majorHAnsi" w:eastAsiaTheme="majorEastAsia" w:cstheme="majorBidi"/>
      <w:spacing w:val="-10"/>
      <w:sz w:val="56"/>
      <w:szCs w:val="56"/>
    </w:rPr>
  </w:style>
  <w:style w:type="character" w:styleId="748" w:customStyle="1">
    <w:name w:val="标题 字符"/>
    <w:basedOn w:val="735"/>
    <w:link w:val="747"/>
    <w:uiPriority w:val="10"/>
    <w:qFormat/>
    <w:rPr>
      <w:rFonts w:asciiTheme="majorHAnsi" w:hAnsiTheme="majorHAnsi" w:eastAsiaTheme="majorEastAsia" w:cstheme="majorBidi"/>
      <w:spacing w:val="-10"/>
      <w:sz w:val="56"/>
      <w:szCs w:val="56"/>
    </w:rPr>
  </w:style>
  <w:style w:type="paragraph" w:styleId="749">
    <w:name w:val="Subtitle"/>
    <w:basedOn w:val="725"/>
    <w:next w:val="725"/>
    <w:link w:val="750"/>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50" w:customStyle="1">
    <w:name w:val="副标题 字符"/>
    <w:basedOn w:val="735"/>
    <w:link w:val="749"/>
    <w:uiPriority w:val="11"/>
    <w:qFormat/>
    <w:rPr>
      <w:rFonts w:asciiTheme="majorHAnsi" w:hAnsiTheme="majorHAnsi" w:eastAsiaTheme="majorEastAsia" w:cstheme="majorBidi"/>
      <w:color w:val="595959" w:themeColor="text1" w:themeTint="A6"/>
      <w:spacing w:val="15"/>
      <w:sz w:val="28"/>
      <w:szCs w:val="28"/>
    </w:rPr>
  </w:style>
  <w:style w:type="paragraph" w:styleId="751">
    <w:name w:val="Quote"/>
    <w:basedOn w:val="725"/>
    <w:next w:val="725"/>
    <w:link w:val="752"/>
    <w:uiPriority w:val="29"/>
    <w:qFormat/>
    <w:pPr>
      <w:jc w:val="center"/>
      <w:spacing w:before="160"/>
    </w:pPr>
    <w:rPr>
      <w:i/>
      <w:iCs/>
      <w:color w:val="404040" w:themeColor="text1" w:themeTint="BF"/>
    </w:rPr>
  </w:style>
  <w:style w:type="character" w:styleId="752" w:customStyle="1">
    <w:name w:val="引用 字符"/>
    <w:basedOn w:val="735"/>
    <w:link w:val="751"/>
    <w:uiPriority w:val="29"/>
    <w:qFormat/>
    <w:rPr>
      <w:i/>
      <w:iCs/>
      <w:color w:val="404040" w:themeColor="text1" w:themeTint="BF"/>
    </w:rPr>
  </w:style>
  <w:style w:type="paragraph" w:styleId="753">
    <w:name w:val="List Paragraph"/>
    <w:basedOn w:val="725"/>
    <w:uiPriority w:val="34"/>
    <w:qFormat/>
    <w:pPr>
      <w:contextualSpacing/>
      <w:ind w:left="720"/>
    </w:pPr>
  </w:style>
  <w:style w:type="character" w:styleId="754">
    <w:name w:val="Intense Emphasis"/>
    <w:basedOn w:val="735"/>
    <w:uiPriority w:val="21"/>
    <w:qFormat/>
    <w:rPr>
      <w:i/>
      <w:iCs/>
      <w:color w:val="0f4761" w:themeColor="accent1" w:themeShade="BF"/>
    </w:rPr>
  </w:style>
  <w:style w:type="paragraph" w:styleId="755">
    <w:name w:val="Intense Quote"/>
    <w:basedOn w:val="725"/>
    <w:next w:val="725"/>
    <w:link w:val="756"/>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756" w:customStyle="1">
    <w:name w:val="明显引用 字符"/>
    <w:basedOn w:val="735"/>
    <w:link w:val="755"/>
    <w:uiPriority w:val="30"/>
    <w:qFormat/>
    <w:rPr>
      <w:i/>
      <w:iCs/>
      <w:color w:val="0f4761" w:themeColor="accent1" w:themeShade="BF"/>
    </w:rPr>
  </w:style>
  <w:style w:type="character" w:styleId="757">
    <w:name w:val="Intense Reference"/>
    <w:basedOn w:val="735"/>
    <w:uiPriority w:val="32"/>
    <w:qFormat/>
    <w:rPr>
      <w:b/>
      <w:bCs/>
      <w:smallCaps/>
      <w:color w:val="0f4761" w:themeColor="accent1" w:themeShade="BF"/>
      <w:spacing w:val="5"/>
    </w:rPr>
  </w:style>
  <w:style w:type="paragraph" w:styleId="758">
    <w:name w:val="Header"/>
    <w:basedOn w:val="725"/>
    <w:link w:val="759"/>
    <w:uiPriority w:val="99"/>
    <w:unhideWhenUsed/>
    <w:qFormat/>
    <w:pPr>
      <w:jc w:val="center"/>
      <w:tabs>
        <w:tab w:val="center" w:pos="4153" w:leader="none"/>
        <w:tab w:val="right" w:pos="8306" w:leader="none"/>
      </w:tabs>
    </w:pPr>
    <w:rPr>
      <w:sz w:val="18"/>
      <w:szCs w:val="18"/>
    </w:rPr>
  </w:style>
  <w:style w:type="character" w:styleId="759" w:customStyle="1">
    <w:name w:val="页眉 字符"/>
    <w:basedOn w:val="735"/>
    <w:link w:val="758"/>
    <w:uiPriority w:val="99"/>
    <w:qFormat/>
    <w:rPr>
      <w:sz w:val="18"/>
      <w:szCs w:val="18"/>
    </w:rPr>
  </w:style>
  <w:style w:type="paragraph" w:styleId="760">
    <w:name w:val="Footer"/>
    <w:basedOn w:val="725"/>
    <w:link w:val="761"/>
    <w:uiPriority w:val="99"/>
    <w:unhideWhenUsed/>
    <w:qFormat/>
    <w:pPr>
      <w:jc w:val="left"/>
      <w:tabs>
        <w:tab w:val="center" w:pos="4153" w:leader="none"/>
        <w:tab w:val="right" w:pos="8306" w:leader="none"/>
      </w:tabs>
    </w:pPr>
    <w:rPr>
      <w:sz w:val="18"/>
      <w:szCs w:val="18"/>
    </w:rPr>
  </w:style>
  <w:style w:type="character" w:styleId="761" w:customStyle="1">
    <w:name w:val="页脚 字符"/>
    <w:basedOn w:val="735"/>
    <w:link w:val="760"/>
    <w:uiPriority w:val="99"/>
    <w:qFormat/>
    <w:rPr>
      <w:sz w:val="18"/>
      <w:szCs w:val="18"/>
    </w:rPr>
  </w:style>
  <w:style w:type="paragraph" w:styleId="762">
    <w:name w:val="toc 7"/>
    <w:basedOn w:val="725"/>
    <w:next w:val="725"/>
    <w:uiPriority w:val="39"/>
    <w:unhideWhenUsed/>
    <w:qFormat/>
    <w:pPr>
      <w:ind w:left="1701"/>
      <w:spacing w:after="57"/>
    </w:pPr>
  </w:style>
  <w:style w:type="paragraph" w:styleId="763">
    <w:name w:val="Caption"/>
    <w:basedOn w:val="725"/>
    <w:next w:val="725"/>
    <w:uiPriority w:val="35"/>
    <w:semiHidden/>
    <w:unhideWhenUsed/>
    <w:qFormat/>
    <w:pPr>
      <w:spacing w:line="276" w:lineRule="auto"/>
    </w:pPr>
    <w:rPr>
      <w:b/>
      <w:bCs/>
      <w:color w:val="156082" w:themeColor="accent1"/>
      <w:sz w:val="18"/>
      <w:szCs w:val="18"/>
    </w:rPr>
  </w:style>
  <w:style w:type="paragraph" w:styleId="764">
    <w:name w:val="annotation text"/>
    <w:basedOn w:val="725"/>
    <w:link w:val="765"/>
    <w:uiPriority w:val="99"/>
    <w:semiHidden/>
    <w:unhideWhenUsed/>
    <w:qFormat/>
    <w:pPr>
      <w:jc w:val="left"/>
    </w:pPr>
  </w:style>
  <w:style w:type="character" w:styleId="765" w:customStyle="1">
    <w:name w:val="批注文字 字符"/>
    <w:basedOn w:val="735"/>
    <w:link w:val="764"/>
    <w:uiPriority w:val="99"/>
    <w:semiHidden/>
    <w:rPr>
      <w:rFonts w:ascii="Calibri" w:hAnsi="Calibri" w:eastAsia="宋体" w:cs="Times New Roman"/>
    </w:rPr>
  </w:style>
  <w:style w:type="paragraph" w:styleId="766">
    <w:name w:val="toc 5"/>
    <w:basedOn w:val="725"/>
    <w:next w:val="725"/>
    <w:uiPriority w:val="39"/>
    <w:unhideWhenUsed/>
    <w:qFormat/>
    <w:pPr>
      <w:ind w:left="1134"/>
      <w:spacing w:after="57"/>
    </w:pPr>
  </w:style>
  <w:style w:type="paragraph" w:styleId="767">
    <w:name w:val="toc 3"/>
    <w:basedOn w:val="725"/>
    <w:next w:val="725"/>
    <w:uiPriority w:val="39"/>
    <w:unhideWhenUsed/>
    <w:qFormat/>
    <w:pPr>
      <w:ind w:left="567"/>
      <w:spacing w:after="57"/>
    </w:pPr>
  </w:style>
  <w:style w:type="paragraph" w:styleId="768">
    <w:name w:val="toc 8"/>
    <w:basedOn w:val="725"/>
    <w:next w:val="725"/>
    <w:uiPriority w:val="39"/>
    <w:unhideWhenUsed/>
    <w:qFormat/>
    <w:pPr>
      <w:ind w:left="1984"/>
      <w:spacing w:after="57"/>
    </w:pPr>
  </w:style>
  <w:style w:type="paragraph" w:styleId="769">
    <w:name w:val="endnote text"/>
    <w:basedOn w:val="725"/>
    <w:link w:val="770"/>
    <w:uiPriority w:val="99"/>
    <w:semiHidden/>
    <w:unhideWhenUsed/>
    <w:qFormat/>
    <w:pPr>
      <w:spacing w:after="0" w:line="240" w:lineRule="auto"/>
    </w:pPr>
    <w:rPr>
      <w:sz w:val="20"/>
    </w:rPr>
  </w:style>
  <w:style w:type="character" w:styleId="770" w:customStyle="1">
    <w:name w:val="尾注文本 字符"/>
    <w:basedOn w:val="735"/>
    <w:link w:val="769"/>
    <w:uiPriority w:val="99"/>
    <w:semiHidden/>
    <w:qFormat/>
    <w:rPr>
      <w:rFonts w:ascii="Calibri" w:hAnsi="Calibri" w:eastAsia="宋体" w:cs="Times New Roman"/>
      <w:sz w:val="20"/>
    </w:rPr>
  </w:style>
  <w:style w:type="paragraph" w:styleId="771">
    <w:name w:val="toc 1"/>
    <w:basedOn w:val="725"/>
    <w:next w:val="725"/>
    <w:uiPriority w:val="39"/>
    <w:unhideWhenUsed/>
    <w:qFormat/>
    <w:pPr>
      <w:spacing w:after="57"/>
    </w:pPr>
  </w:style>
  <w:style w:type="paragraph" w:styleId="772">
    <w:name w:val="toc 4"/>
    <w:basedOn w:val="725"/>
    <w:next w:val="725"/>
    <w:uiPriority w:val="39"/>
    <w:unhideWhenUsed/>
    <w:qFormat/>
    <w:pPr>
      <w:ind w:left="850"/>
      <w:spacing w:after="57"/>
    </w:pPr>
  </w:style>
  <w:style w:type="paragraph" w:styleId="773">
    <w:name w:val="footnote text"/>
    <w:basedOn w:val="725"/>
    <w:link w:val="774"/>
    <w:uiPriority w:val="99"/>
    <w:semiHidden/>
    <w:unhideWhenUsed/>
    <w:qFormat/>
    <w:pPr>
      <w:spacing w:after="40" w:line="240" w:lineRule="auto"/>
    </w:pPr>
    <w:rPr>
      <w:sz w:val="18"/>
    </w:rPr>
  </w:style>
  <w:style w:type="character" w:styleId="774" w:customStyle="1">
    <w:name w:val="脚注文本 字符"/>
    <w:basedOn w:val="735"/>
    <w:link w:val="773"/>
    <w:uiPriority w:val="99"/>
    <w:semiHidden/>
    <w:qFormat/>
    <w:rPr>
      <w:rFonts w:ascii="Calibri" w:hAnsi="Calibri" w:eastAsia="宋体" w:cs="Times New Roman"/>
      <w:sz w:val="18"/>
    </w:rPr>
  </w:style>
  <w:style w:type="paragraph" w:styleId="775">
    <w:name w:val="toc 6"/>
    <w:basedOn w:val="725"/>
    <w:next w:val="725"/>
    <w:uiPriority w:val="39"/>
    <w:unhideWhenUsed/>
    <w:qFormat/>
    <w:pPr>
      <w:ind w:left="1417"/>
      <w:spacing w:after="57"/>
    </w:pPr>
  </w:style>
  <w:style w:type="paragraph" w:styleId="776">
    <w:name w:val="table of figures"/>
    <w:basedOn w:val="725"/>
    <w:next w:val="725"/>
    <w:uiPriority w:val="99"/>
    <w:unhideWhenUsed/>
    <w:qFormat/>
    <w:pPr>
      <w:spacing w:after="0"/>
    </w:pPr>
  </w:style>
  <w:style w:type="paragraph" w:styleId="777">
    <w:name w:val="toc 2"/>
    <w:basedOn w:val="725"/>
    <w:next w:val="725"/>
    <w:uiPriority w:val="39"/>
    <w:unhideWhenUsed/>
    <w:qFormat/>
    <w:pPr>
      <w:ind w:left="283"/>
      <w:spacing w:after="57"/>
    </w:pPr>
  </w:style>
  <w:style w:type="paragraph" w:styleId="778">
    <w:name w:val="toc 9"/>
    <w:basedOn w:val="725"/>
    <w:next w:val="725"/>
    <w:uiPriority w:val="39"/>
    <w:unhideWhenUsed/>
    <w:qFormat/>
    <w:pPr>
      <w:ind w:left="2268"/>
      <w:spacing w:after="57"/>
    </w:pPr>
  </w:style>
  <w:style w:type="paragraph" w:styleId="779">
    <w:name w:val="Normal (Web)"/>
    <w:basedOn w:val="725"/>
    <w:uiPriority w:val="99"/>
    <w:qFormat/>
    <w:pPr>
      <w:jc w:val="left"/>
      <w:spacing w:before="100" w:beforeAutospacing="1" w:after="100" w:afterAutospacing="1"/>
      <w:widowControl/>
    </w:pPr>
    <w:rPr>
      <w:rFonts w:ascii="宋体" w:hAnsi="宋体" w:cs="宋体"/>
      <w:sz w:val="24"/>
      <w:szCs w:val="24"/>
    </w:rPr>
  </w:style>
  <w:style w:type="character" w:styleId="780">
    <w:name w:val="Strong"/>
    <w:basedOn w:val="735"/>
    <w:qFormat/>
    <w:rPr>
      <w:b/>
      <w:bCs/>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467886" w:themeColor="hyperlink"/>
      <w:u w:val="single"/>
    </w:rPr>
  </w:style>
  <w:style w:type="character" w:styleId="783">
    <w:name w:val="annotation reference"/>
    <w:basedOn w:val="735"/>
    <w:uiPriority w:val="99"/>
    <w:semiHidden/>
    <w:unhideWhenUsed/>
    <w:qFormat/>
    <w:rPr>
      <w:sz w:val="21"/>
      <w:szCs w:val="21"/>
    </w:rPr>
  </w:style>
  <w:style w:type="character" w:styleId="784">
    <w:name w:val="footnote reference"/>
    <w:uiPriority w:val="99"/>
    <w:unhideWhenUsed/>
    <w:qFormat/>
    <w:rPr>
      <w:vertAlign w:val="superscript"/>
    </w:rPr>
  </w:style>
  <w:style w:type="table" w:styleId="785">
    <w:name w:val="Table Grid"/>
    <w:uiPriority w:val="59"/>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86">
    <w:name w:val="No Spacing"/>
    <w:uiPriority w:val="1"/>
    <w:qFormat/>
    <w:rPr>
      <w:rFonts w:ascii="Calibri" w:hAnsi="Calibri" w:eastAsia="宋体" w:cs="Times New Roman"/>
      <w:sz w:val="20"/>
      <w:szCs w:val="20"/>
    </w:rPr>
  </w:style>
  <w:style w:type="character" w:styleId="787" w:customStyle="1">
    <w:name w:val="Footer Char"/>
    <w:uiPriority w:val="99"/>
    <w:qFormat/>
  </w:style>
  <w:style w:type="table" w:styleId="788" w:customStyle="1">
    <w:name w:val="Table Grid Light"/>
    <w:uiPriority w:val="59"/>
    <w:qFormat/>
    <w:rPr>
      <w:rFonts w:ascii="Calibri" w:hAnsi="Calibri"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9" w:customStyle="1">
    <w:name w:val="无格式表格 11"/>
    <w:uiPriority w:val="59"/>
    <w:qFormat/>
    <w:rPr>
      <w:rFonts w:ascii="Calibri" w:hAnsi="Calibri"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rPr>
      <w:rFonts w:ascii="Calibri" w:hAnsi="Calibri"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rPr>
      <w:rFonts w:ascii="Calibri" w:hAnsi="Calibri"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rPr>
      <w:rFonts w:ascii="Calibri" w:hAnsi="Calibri"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rPr>
      <w:rFonts w:ascii="Calibri" w:hAnsi="Calibri"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rPr>
      <w:rFonts w:ascii="Calibri" w:hAnsi="Calibri" w:eastAsia="宋体" w:cs="Times New Roman"/>
      <w:sz w:val="20"/>
      <w:szCs w:val="20"/>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rPr>
      <w:rFonts w:ascii="Calibri" w:hAnsi="Calibri" w:eastAsia="宋体" w:cs="Times New Roman"/>
      <w:sz w:val="20"/>
      <w:szCs w:val="20"/>
    </w:rPr>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rPr>
      <w:rFonts w:ascii="Calibri" w:hAnsi="Calibri" w:eastAsia="宋体" w:cs="Times New Roman"/>
      <w:sz w:val="20"/>
      <w:szCs w:val="20"/>
    </w:rPr>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rPr>
      <w:rFonts w:ascii="Calibri" w:hAnsi="Calibri" w:eastAsia="宋体" w:cs="Times New Roman"/>
      <w:sz w:val="20"/>
      <w:szCs w:val="20"/>
    </w:r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rPr>
      <w:rFonts w:ascii="Calibri" w:hAnsi="Calibri" w:eastAsia="宋体" w:cs="Times New Roman"/>
      <w:sz w:val="20"/>
      <w:szCs w:val="20"/>
    </w:rPr>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rPr>
      <w:rFonts w:ascii="Calibri" w:hAnsi="Calibri" w:eastAsia="宋体" w:cs="Times New Roman"/>
      <w:sz w:val="20"/>
      <w:szCs w:val="20"/>
    </w:r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rPr>
      <w:rFonts w:ascii="Calibri" w:hAnsi="Calibri" w:eastAsia="宋体" w:cs="Times New Roman"/>
      <w:sz w:val="20"/>
      <w:szCs w:val="20"/>
    </w:r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rPr>
      <w:rFonts w:ascii="Calibri" w:hAnsi="Calibri"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rPr>
      <w:rFonts w:ascii="Calibri" w:hAnsi="Calibri" w:eastAsia="宋体" w:cs="Times New Roman"/>
      <w:sz w:val="20"/>
      <w:szCs w:val="20"/>
    </w:rPr>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rPr>
      <w:rFonts w:ascii="Calibri" w:hAnsi="Calibri" w:eastAsia="宋体" w:cs="Times New Roman"/>
      <w:sz w:val="20"/>
      <w:szCs w:val="20"/>
    </w:rPr>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rPr>
      <w:rFonts w:ascii="Calibri" w:hAnsi="Calibri" w:eastAsia="宋体" w:cs="Times New Roman"/>
      <w:sz w:val="20"/>
      <w:szCs w:val="20"/>
    </w:rPr>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rPr>
      <w:rFonts w:ascii="Calibri" w:hAnsi="Calibri" w:eastAsia="宋体" w:cs="Times New Roman"/>
      <w:sz w:val="20"/>
      <w:szCs w:val="20"/>
    </w:rPr>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rPr>
      <w:rFonts w:ascii="Calibri" w:hAnsi="Calibri" w:eastAsia="宋体" w:cs="Times New Roman"/>
      <w:sz w:val="20"/>
      <w:szCs w:val="20"/>
    </w:rPr>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rPr>
      <w:rFonts w:ascii="Calibri" w:hAnsi="Calibri" w:eastAsia="宋体" w:cs="Times New Roman"/>
      <w:sz w:val="20"/>
      <w:szCs w:val="20"/>
    </w:rPr>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rPr>
      <w:rFonts w:ascii="Calibri" w:hAnsi="Calibri"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rPr>
      <w:rFonts w:ascii="Calibri" w:hAnsi="Calibri" w:eastAsia="宋体" w:cs="Times New Roman"/>
      <w:sz w:val="20"/>
      <w:szCs w:val="20"/>
    </w:rPr>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rPr>
      <w:rFonts w:ascii="Calibri" w:hAnsi="Calibri" w:eastAsia="宋体" w:cs="Times New Roman"/>
      <w:sz w:val="20"/>
      <w:szCs w:val="20"/>
    </w:rPr>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rPr>
      <w:rFonts w:ascii="Calibri" w:hAnsi="Calibri" w:eastAsia="宋体" w:cs="Times New Roman"/>
      <w:sz w:val="20"/>
      <w:szCs w:val="20"/>
    </w:rPr>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rPr>
      <w:rFonts w:ascii="Calibri" w:hAnsi="Calibri" w:eastAsia="宋体" w:cs="Times New Roman"/>
      <w:sz w:val="20"/>
      <w:szCs w:val="20"/>
    </w:rPr>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rPr>
      <w:rFonts w:ascii="Calibri" w:hAnsi="Calibri" w:eastAsia="宋体" w:cs="Times New Roman"/>
      <w:sz w:val="20"/>
      <w:szCs w:val="20"/>
    </w:rPr>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rPr>
      <w:rFonts w:ascii="Calibri" w:hAnsi="Calibri" w:eastAsia="宋体" w:cs="Times New Roman"/>
      <w:sz w:val="20"/>
      <w:szCs w:val="20"/>
    </w:rPr>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rPr>
      <w:rFonts w:ascii="Calibri" w:hAnsi="Calibri" w:eastAsia="宋体" w:cs="Times New Roman"/>
      <w:sz w:val="20"/>
      <w:szCs w:val="20"/>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rPr>
      <w:rFonts w:ascii="Calibri" w:hAnsi="Calibri" w:eastAsia="宋体" w:cs="Times New Roman"/>
      <w:sz w:val="20"/>
      <w:szCs w:val="20"/>
    </w:rPr>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17" w:customStyle="1">
    <w:name w:val="Grid Table 4 - Accent 2"/>
    <w:uiPriority w:val="59"/>
    <w:qFormat/>
    <w:rPr>
      <w:rFonts w:ascii="Calibri" w:hAnsi="Calibri" w:eastAsia="宋体" w:cs="Times New Roman"/>
      <w:sz w:val="20"/>
      <w:szCs w:val="20"/>
    </w:r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18" w:customStyle="1">
    <w:name w:val="Grid Table 4 - Accent 3"/>
    <w:uiPriority w:val="59"/>
    <w:qFormat/>
    <w:rPr>
      <w:rFonts w:ascii="Calibri" w:hAnsi="Calibri" w:eastAsia="宋体" w:cs="Times New Roman"/>
      <w:sz w:val="20"/>
      <w:szCs w:val="20"/>
    </w:r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19" w:customStyle="1">
    <w:name w:val="Grid Table 4 - Accent 4"/>
    <w:uiPriority w:val="59"/>
    <w:qFormat/>
    <w:rPr>
      <w:rFonts w:ascii="Calibri" w:hAnsi="Calibri" w:eastAsia="宋体" w:cs="Times New Roman"/>
      <w:sz w:val="20"/>
      <w:szCs w:val="20"/>
    </w:rPr>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20" w:customStyle="1">
    <w:name w:val="Grid Table 4 - Accent 5"/>
    <w:uiPriority w:val="59"/>
    <w:qFormat/>
    <w:rPr>
      <w:rFonts w:ascii="Calibri" w:hAnsi="Calibri" w:eastAsia="宋体" w:cs="Times New Roman"/>
      <w:sz w:val="20"/>
      <w:szCs w:val="20"/>
    </w:rPr>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21" w:customStyle="1">
    <w:name w:val="Grid Table 4 - Accent 6"/>
    <w:uiPriority w:val="59"/>
    <w:qFormat/>
    <w:rPr>
      <w:rFonts w:ascii="Calibri" w:hAnsi="Calibri" w:eastAsia="宋体" w:cs="Times New Roman"/>
      <w:sz w:val="20"/>
      <w:szCs w:val="20"/>
    </w:r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22" w:customStyle="1">
    <w:name w:val="网格表 5 深色1"/>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24" w:customStyle="1">
    <w:name w:val="Grid Table 5 Dark - Accent 2"/>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25" w:customStyle="1">
    <w:name w:val="Grid Table 5 Dark - Accent 3"/>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26" w:customStyle="1">
    <w:name w:val="Grid Table 5 Dark- Accent 4"/>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27" w:customStyle="1">
    <w:name w:val="Grid Table 5 Dark - Accent 5"/>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28" w:customStyle="1">
    <w:name w:val="Grid Table 5 Dark - Accent 6"/>
    <w:uiPriority w:val="99"/>
    <w:qFormat/>
    <w:rPr>
      <w:rFonts w:ascii="Calibri" w:hAnsi="Calibri"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29" w:customStyle="1">
    <w:name w:val="网格表 6 彩色1"/>
    <w:uiPriority w:val="99"/>
    <w:qFormat/>
    <w:rPr>
      <w:rFonts w:ascii="Calibri" w:hAnsi="Calibri" w:eastAsia="宋体" w:cs="Times New Roman"/>
      <w:sz w:val="20"/>
      <w:szCs w:val="20"/>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12" w:space="0"/>
        </w:tcBorders>
      </w:tcPr>
    </w:tblStylePr>
    <w:tblStylePr w:type="lastCol">
      <w:rPr>
        <w:b/>
        <w:color w:val="000000" w:themeColor="text1"/>
      </w:rPr>
    </w:tblStylePr>
    <w:tblStylePr w:type="lastRow">
      <w:rPr>
        <w:b/>
        <w:color w:val="000000" w:themeColor="text1"/>
      </w:rPr>
    </w:tblStylePr>
  </w:style>
  <w:style w:type="table" w:styleId="830" w:customStyle="1">
    <w:name w:val="Grid Table 6 Colorful - Accent 1"/>
    <w:uiPriority w:val="99"/>
    <w:qFormat/>
    <w:rPr>
      <w:rFonts w:ascii="Calibri" w:hAnsi="Calibri" w:eastAsia="宋体" w:cs="Times New Roman"/>
      <w:sz w:val="20"/>
      <w:szCs w:val="20"/>
    </w:rPr>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156082" w:themeColor="accent1"/>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156082" w:themeColor="accent1"/>
        <w:sz w:val="22"/>
      </w:rPr>
    </w:tblStylePr>
    <w:tblStylePr w:type="firstCol">
      <w:rPr>
        <w:b/>
        <w:color w:val="156082" w:themeColor="accent1"/>
      </w:rPr>
    </w:tblStylePr>
    <w:tblStylePr w:type="firstRow">
      <w:rPr>
        <w:b/>
        <w:color w:val="156082" w:themeColor="accent1"/>
      </w:rPr>
      <w:tcPr>
        <w:tcBorders>
          <w:bottom w:val="single" w:color="63BDE6" w:themeColor="accent1" w:themeTint="80" w:sz="12" w:space="0"/>
        </w:tcBorders>
      </w:tcPr>
    </w:tblStylePr>
    <w:tblStylePr w:type="lastCol">
      <w:rPr>
        <w:b/>
        <w:color w:val="156082" w:themeColor="accent1"/>
      </w:rPr>
    </w:tblStylePr>
    <w:tblStylePr w:type="lastRow">
      <w:rPr>
        <w:b/>
        <w:color w:val="156082" w:themeColor="accent1"/>
      </w:rPr>
    </w:tblStylePr>
  </w:style>
  <w:style w:type="table" w:styleId="831" w:customStyle="1">
    <w:name w:val="Grid Table 6 Colorful - Accent 2"/>
    <w:uiPriority w:val="99"/>
    <w:qFormat/>
    <w:rPr>
      <w:rFonts w:ascii="Calibri" w:hAnsi="Calibri" w:eastAsia="宋体" w:cs="Times New Roman"/>
      <w:sz w:val="20"/>
      <w:szCs w:val="20"/>
    </w:rPr>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e97132" w:themeColor="accent2"/>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e97132" w:themeColor="accent2"/>
        <w:sz w:val="22"/>
      </w:rPr>
    </w:tblStylePr>
    <w:tblStylePr w:type="firstCol">
      <w:rPr>
        <w:b/>
        <w:color w:val="e97132" w:themeColor="accent2"/>
      </w:rPr>
    </w:tblStylePr>
    <w:tblStylePr w:type="firstRow">
      <w:rPr>
        <w:b/>
        <w:color w:val="e97132" w:themeColor="accent2"/>
      </w:rPr>
      <w:tcPr>
        <w:tcBorders>
          <w:bottom w:val="single" w:color="F2AA85" w:themeColor="accent2" w:themeTint="97" w:sz="12" w:space="0"/>
        </w:tcBorders>
      </w:tcPr>
    </w:tblStylePr>
    <w:tblStylePr w:type="lastCol">
      <w:rPr>
        <w:b/>
        <w:color w:val="e97132" w:themeColor="accent2"/>
      </w:rPr>
    </w:tblStylePr>
    <w:tblStylePr w:type="lastRow">
      <w:rPr>
        <w:b/>
        <w:color w:val="e97132" w:themeColor="accent2"/>
      </w:rPr>
    </w:tblStylePr>
  </w:style>
  <w:style w:type="table" w:styleId="832" w:customStyle="1">
    <w:name w:val="Grid Table 6 Colorful - Accent 3"/>
    <w:uiPriority w:val="99"/>
    <w:qFormat/>
    <w:rPr>
      <w:rFonts w:ascii="Calibri" w:hAnsi="Calibri" w:eastAsia="宋体" w:cs="Times New Roman"/>
      <w:sz w:val="20"/>
      <w:szCs w:val="20"/>
    </w:rPr>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33" w:customStyle="1">
    <w:name w:val="Grid Table 6 Colorful - Accent 4"/>
    <w:uiPriority w:val="99"/>
    <w:qFormat/>
    <w:rPr>
      <w:rFonts w:ascii="Calibri" w:hAnsi="Calibri" w:eastAsia="宋体" w:cs="Times New Roman"/>
      <w:sz w:val="20"/>
      <w:szCs w:val="20"/>
    </w:r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0f9ed5" w:themeColor="accent4"/>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0f9ed5" w:themeColor="accent4"/>
        <w:sz w:val="22"/>
      </w:rPr>
    </w:tblStylePr>
    <w:tblStylePr w:type="firstCol">
      <w:rPr>
        <w:b/>
        <w:color w:val="0f9ed5" w:themeColor="accent4"/>
      </w:rPr>
    </w:tblStylePr>
    <w:tblStylePr w:type="firstRow">
      <w:rPr>
        <w:b/>
        <w:color w:val="0f9ed5" w:themeColor="accent4"/>
      </w:rPr>
      <w:tcPr>
        <w:tcBorders>
          <w:bottom w:val="single" w:color="5FCAF3" w:themeColor="accent4" w:themeTint="9A" w:sz="12" w:space="0"/>
        </w:tcBorders>
      </w:tcPr>
    </w:tblStylePr>
    <w:tblStylePr w:type="lastCol">
      <w:rPr>
        <w:b/>
        <w:color w:val="0f9ed5" w:themeColor="accent4"/>
      </w:rPr>
    </w:tblStylePr>
    <w:tblStylePr w:type="lastRow">
      <w:rPr>
        <w:b/>
        <w:color w:val="0f9ed5" w:themeColor="accent4"/>
      </w:rPr>
    </w:tblStylePr>
  </w:style>
  <w:style w:type="table" w:styleId="834" w:customStyle="1">
    <w:name w:val="Grid Table 6 Colorful - Accent 5"/>
    <w:uiPriority w:val="99"/>
    <w:qFormat/>
    <w:rPr>
      <w:rFonts w:ascii="Calibri" w:hAnsi="Calibri" w:eastAsia="宋体" w:cs="Times New Roman"/>
      <w:sz w:val="20"/>
      <w:szCs w:val="20"/>
    </w:rPr>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35" w:customStyle="1">
    <w:name w:val="Grid Table 6 Colorful - Accent 6"/>
    <w:uiPriority w:val="99"/>
    <w:qFormat/>
    <w:rPr>
      <w:rFonts w:ascii="Calibri" w:hAnsi="Calibri" w:eastAsia="宋体" w:cs="Times New Roman"/>
      <w:sz w:val="20"/>
      <w:szCs w:val="20"/>
    </w:rPr>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36" w:customStyle="1">
    <w:name w:val="网格表 7 彩色1"/>
    <w:uiPriority w:val="99"/>
    <w:qFormat/>
    <w:rPr>
      <w:rFonts w:ascii="Calibri" w:hAnsi="Calibri" w:eastAsia="宋体" w:cs="Times New Roman"/>
      <w:sz w:val="20"/>
      <w:szCs w:val="20"/>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000000" w:themeColor="text1"/>
        <w:sz w:val="22"/>
      </w:rPr>
    </w:tblStylePr>
    <w:tblStylePr w:type="firstCol">
      <w:rPr>
        <w:rFonts w:ascii="Arial" w:hAnsi="Arial"/>
        <w:i/>
        <w:color w:val="000000" w:themeColor="text1"/>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000000" w:themeColor="text1"/>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000000" w:themeColor="text1"/>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000000" w:themeColor="text1"/>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rPr>
      <w:rFonts w:ascii="Calibri" w:hAnsi="Calibri" w:eastAsia="宋体" w:cs="Times New Roman"/>
      <w:sz w:val="20"/>
      <w:szCs w:val="20"/>
    </w:rPr>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156082" w:themeColor="accent1"/>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156082" w:themeColor="accent1"/>
        <w:sz w:val="22"/>
      </w:rPr>
    </w:tblStylePr>
    <w:tblStylePr w:type="firstCol">
      <w:rPr>
        <w:rFonts w:ascii="Arial" w:hAnsi="Arial"/>
        <w:i/>
        <w:color w:val="156082" w:themeColor="accent1"/>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156082" w:themeColor="accent1"/>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156082" w:themeColor="accent1"/>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156082" w:themeColor="accent1"/>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rPr>
      <w:rFonts w:ascii="Calibri" w:hAnsi="Calibri" w:eastAsia="宋体" w:cs="Times New Roman"/>
      <w:sz w:val="20"/>
      <w:szCs w:val="20"/>
    </w:rPr>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e97132" w:themeColor="accent2"/>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e97132" w:themeColor="accent2"/>
        <w:sz w:val="22"/>
      </w:rPr>
    </w:tblStylePr>
    <w:tblStylePr w:type="firstCol">
      <w:rPr>
        <w:rFonts w:ascii="Arial" w:hAnsi="Arial"/>
        <w:i/>
        <w:color w:val="e97132" w:themeColor="accent2"/>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e97132" w:themeColor="accent2"/>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e97132" w:themeColor="accent2"/>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e97132" w:themeColor="accent2"/>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rPr>
      <w:rFonts w:ascii="Calibri" w:hAnsi="Calibri" w:eastAsia="宋体" w:cs="Times New Roman"/>
      <w:sz w:val="20"/>
      <w:szCs w:val="20"/>
    </w:rPr>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rPr>
      <w:rFonts w:ascii="Calibri" w:hAnsi="Calibri" w:eastAsia="宋体" w:cs="Times New Roman"/>
      <w:sz w:val="20"/>
      <w:szCs w:val="20"/>
    </w:rPr>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0f9ed5" w:themeColor="accent4"/>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0f9ed5" w:themeColor="accent4"/>
        <w:sz w:val="22"/>
      </w:rPr>
    </w:tblStylePr>
    <w:tblStylePr w:type="firstCol">
      <w:rPr>
        <w:rFonts w:ascii="Arial" w:hAnsi="Arial"/>
        <w:i/>
        <w:color w:val="0f9ed5" w:themeColor="accent4"/>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0f9ed5" w:themeColor="accent4"/>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0f9ed5" w:themeColor="accent4"/>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0f9ed5" w:themeColor="accent4"/>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rPr>
      <w:rFonts w:ascii="Calibri" w:hAnsi="Calibri" w:eastAsia="宋体" w:cs="Times New Roman"/>
      <w:sz w:val="20"/>
      <w:szCs w:val="20"/>
    </w:rPr>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rPr>
      <w:rFonts w:ascii="Calibri" w:hAnsi="Calibri" w:eastAsia="宋体" w:cs="Times New Roman"/>
      <w:sz w:val="20"/>
      <w:szCs w:val="20"/>
    </w:rPr>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rPr>
      <w:rFonts w:ascii="Calibri" w:hAnsi="Calibri" w:eastAsia="宋体" w:cs="Times New Roman"/>
      <w:sz w:val="20"/>
      <w:szCs w:val="20"/>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1" w:customStyle="1">
    <w:name w:val="List Table 2 - Accent 1"/>
    <w:uiPriority w:val="99"/>
    <w:qFormat/>
    <w:rPr>
      <w:rFonts w:ascii="Calibri" w:hAnsi="Calibri" w:eastAsia="宋体" w:cs="Times New Roman"/>
      <w:sz w:val="20"/>
      <w:szCs w:val="20"/>
    </w:rPr>
    <w:tblPr>
      <w:tblBorders>
        <w:top w:val="single" w:color="50B4E2" w:themeColor="accent1" w:themeTint="90" w:sz="4" w:space="0"/>
        <w:bottom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52" w:customStyle="1">
    <w:name w:val="List Table 2 - Accent 2"/>
    <w:uiPriority w:val="99"/>
    <w:qFormat/>
    <w:rPr>
      <w:rFonts w:ascii="Calibri" w:hAnsi="Calibri" w:eastAsia="宋体" w:cs="Times New Roman"/>
      <w:sz w:val="20"/>
      <w:szCs w:val="20"/>
    </w:rPr>
    <w:tblPr>
      <w:tblBorders>
        <w:top w:val="single" w:color="F2AE8B" w:themeColor="accent2" w:themeTint="90" w:sz="4" w:space="0"/>
        <w:bottom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53" w:customStyle="1">
    <w:name w:val="List Table 2 - Accent 3"/>
    <w:uiPriority w:val="99"/>
    <w:qFormat/>
    <w:rPr>
      <w:rFonts w:ascii="Calibri" w:hAnsi="Calibri" w:eastAsia="宋体" w:cs="Times New Roman"/>
      <w:sz w:val="20"/>
      <w:szCs w:val="20"/>
    </w:rPr>
    <w:tblPr>
      <w:tblBorders>
        <w:top w:val="single" w:color="51D663" w:themeColor="accent3" w:themeTint="90" w:sz="4" w:space="0"/>
        <w:bottom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54" w:customStyle="1">
    <w:name w:val="List Table 2 - Accent 4"/>
    <w:uiPriority w:val="99"/>
    <w:qFormat/>
    <w:rPr>
      <w:rFonts w:ascii="Calibri" w:hAnsi="Calibri" w:eastAsia="宋体" w:cs="Times New Roman"/>
      <w:sz w:val="20"/>
      <w:szCs w:val="20"/>
    </w:rPr>
    <w:tblPr>
      <w:tblBorders>
        <w:top w:val="single" w:color="6ACDF4" w:themeColor="accent4" w:themeTint="90" w:sz="4" w:space="0"/>
        <w:bottom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55" w:customStyle="1">
    <w:name w:val="List Table 2 - Accent 5"/>
    <w:uiPriority w:val="99"/>
    <w:qFormat/>
    <w:rPr>
      <w:rFonts w:ascii="Calibri" w:hAnsi="Calibri" w:eastAsia="宋体" w:cs="Times New Roman"/>
      <w:sz w:val="20"/>
      <w:szCs w:val="20"/>
    </w:rPr>
    <w:tblPr>
      <w:tblBorders>
        <w:top w:val="single" w:color="DA76CE" w:themeColor="accent5" w:themeTint="90" w:sz="4" w:space="0"/>
        <w:bottom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56" w:customStyle="1">
    <w:name w:val="List Table 2 - Accent 6"/>
    <w:uiPriority w:val="99"/>
    <w:qFormat/>
    <w:rPr>
      <w:rFonts w:ascii="Calibri" w:hAnsi="Calibri" w:eastAsia="宋体" w:cs="Times New Roman"/>
      <w:sz w:val="20"/>
      <w:szCs w:val="20"/>
    </w:rPr>
    <w:tblPr>
      <w:tblBorders>
        <w:top w:val="single" w:color="94DA7B" w:themeColor="accent6" w:themeTint="90" w:sz="4" w:space="0"/>
        <w:bottom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57" w:customStyle="1">
    <w:name w:val="清单表 31"/>
    <w:uiPriority w:val="99"/>
    <w:qFormat/>
    <w:rPr>
      <w:rFonts w:ascii="Calibri" w:hAnsi="Calibri"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rPr>
      <w:rFonts w:ascii="Calibri" w:hAnsi="Calibri" w:eastAsia="宋体" w:cs="Times New Roman"/>
      <w:sz w:val="20"/>
      <w:szCs w:val="20"/>
    </w:rPr>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rPr>
      <w:rFonts w:ascii="Calibri" w:hAnsi="Calibri" w:eastAsia="宋体" w:cs="Times New Roman"/>
      <w:sz w:val="20"/>
      <w:szCs w:val="20"/>
    </w:rPr>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rPr>
      <w:rFonts w:ascii="Calibri" w:hAnsi="Calibri" w:eastAsia="宋体" w:cs="Times New Roman"/>
      <w:sz w:val="20"/>
      <w:szCs w:val="20"/>
    </w:rPr>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rPr>
      <w:rFonts w:ascii="Calibri" w:hAnsi="Calibri" w:eastAsia="宋体" w:cs="Times New Roman"/>
      <w:sz w:val="20"/>
      <w:szCs w:val="20"/>
    </w:r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rPr>
      <w:rFonts w:ascii="Calibri" w:hAnsi="Calibri" w:eastAsia="宋体" w:cs="Times New Roman"/>
      <w:sz w:val="20"/>
      <w:szCs w:val="20"/>
    </w:rPr>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rPr>
      <w:rFonts w:ascii="Calibri" w:hAnsi="Calibri" w:eastAsia="宋体" w:cs="Times New Roman"/>
      <w:sz w:val="20"/>
      <w:szCs w:val="20"/>
    </w:rPr>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rPr>
      <w:rFonts w:ascii="Calibri" w:hAnsi="Calibri"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rPr>
      <w:rFonts w:ascii="Calibri" w:hAnsi="Calibri" w:eastAsia="宋体" w:cs="Times New Roman"/>
      <w:sz w:val="20"/>
      <w:szCs w:val="20"/>
    </w:rPr>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rPr>
      <w:rFonts w:ascii="Calibri" w:hAnsi="Calibri" w:eastAsia="宋体" w:cs="Times New Roman"/>
      <w:sz w:val="20"/>
      <w:szCs w:val="20"/>
    </w:r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rPr>
      <w:rFonts w:ascii="Calibri" w:hAnsi="Calibri" w:eastAsia="宋体" w:cs="Times New Roman"/>
      <w:sz w:val="20"/>
      <w:szCs w:val="20"/>
    </w:r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rPr>
      <w:rFonts w:ascii="Calibri" w:hAnsi="Calibri" w:eastAsia="宋体" w:cs="Times New Roman"/>
      <w:sz w:val="20"/>
      <w:szCs w:val="20"/>
    </w:rPr>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rPr>
      <w:rFonts w:ascii="Calibri" w:hAnsi="Calibri" w:eastAsia="宋体" w:cs="Times New Roman"/>
      <w:sz w:val="20"/>
      <w:szCs w:val="20"/>
    </w:rPr>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rPr>
      <w:rFonts w:ascii="Calibri" w:hAnsi="Calibri" w:eastAsia="宋体" w:cs="Times New Roman"/>
      <w:sz w:val="20"/>
      <w:szCs w:val="20"/>
    </w:r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71" w:customStyle="1">
    <w:name w:val="清单表 5 深色1"/>
    <w:uiPriority w:val="99"/>
    <w:qFormat/>
    <w:rPr>
      <w:rFonts w:ascii="Calibri" w:hAnsi="Calibri" w:eastAsia="宋体" w:cs="Times New Roman"/>
      <w:sz w:val="20"/>
      <w:szCs w:val="20"/>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qFormat/>
    <w:rPr>
      <w:rFonts w:ascii="Calibri" w:hAnsi="Calibri" w:eastAsia="宋体" w:cs="Times New Roman"/>
      <w:sz w:val="20"/>
      <w:szCs w:val="20"/>
    </w:rPr>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CellMar>
        <w:left w:w="0" w:type="dxa"/>
        <w:top w:w="0" w:type="dxa"/>
        <w:right w:w="0" w:type="dxa"/>
        <w:bottom w:w="0" w:type="dxa"/>
      </w:tblCellMar>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qFormat/>
    <w:rPr>
      <w:rFonts w:ascii="Calibri" w:hAnsi="Calibri" w:eastAsia="宋体" w:cs="Times New Roman"/>
      <w:sz w:val="20"/>
      <w:szCs w:val="20"/>
    </w:rPr>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CellMar>
        <w:left w:w="0" w:type="dxa"/>
        <w:top w:w="0" w:type="dxa"/>
        <w:right w:w="0" w:type="dxa"/>
        <w:bottom w:w="0" w:type="dxa"/>
      </w:tblCellMar>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qFormat/>
    <w:rPr>
      <w:rFonts w:ascii="Calibri" w:hAnsi="Calibri" w:eastAsia="宋体" w:cs="Times New Roman"/>
      <w:sz w:val="20"/>
      <w:szCs w:val="20"/>
    </w:rPr>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CellMar>
        <w:left w:w="0" w:type="dxa"/>
        <w:top w:w="0" w:type="dxa"/>
        <w:right w:w="0" w:type="dxa"/>
        <w:bottom w:w="0" w:type="dxa"/>
      </w:tblCellMar>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qFormat/>
    <w:rPr>
      <w:rFonts w:ascii="Calibri" w:hAnsi="Calibri" w:eastAsia="宋体" w:cs="Times New Roman"/>
      <w:sz w:val="20"/>
      <w:szCs w:val="20"/>
    </w:rPr>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CellMar>
        <w:left w:w="0" w:type="dxa"/>
        <w:top w:w="0" w:type="dxa"/>
        <w:right w:w="0" w:type="dxa"/>
        <w:bottom w:w="0" w:type="dxa"/>
      </w:tblCellMar>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qFormat/>
    <w:rPr>
      <w:rFonts w:ascii="Calibri" w:hAnsi="Calibri" w:eastAsia="宋体" w:cs="Times New Roman"/>
      <w:sz w:val="20"/>
      <w:szCs w:val="20"/>
    </w:rPr>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CellMar>
        <w:left w:w="0" w:type="dxa"/>
        <w:top w:w="0" w:type="dxa"/>
        <w:right w:w="0" w:type="dxa"/>
        <w:bottom w:w="0" w:type="dxa"/>
      </w:tblCellMar>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qFormat/>
    <w:rPr>
      <w:rFonts w:ascii="Calibri" w:hAnsi="Calibri" w:eastAsia="宋体" w:cs="Times New Roman"/>
      <w:sz w:val="20"/>
      <w:szCs w:val="20"/>
    </w:rPr>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CellMar>
        <w:left w:w="0" w:type="dxa"/>
        <w:top w:w="0" w:type="dxa"/>
        <w:right w:w="0" w:type="dxa"/>
        <w:bottom w:w="0" w:type="dxa"/>
      </w:tblCellMar>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878" w:customStyle="1">
    <w:name w:val="清单表 6 彩色1"/>
    <w:uiPriority w:val="99"/>
    <w:qFormat/>
    <w:rPr>
      <w:rFonts w:ascii="Calibri" w:hAnsi="Calibri" w:eastAsia="宋体" w:cs="Times New Roman"/>
      <w:sz w:val="20"/>
      <w:szCs w:val="20"/>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9" w:customStyle="1">
    <w:name w:val="List Table 6 Colorful - Accent 1"/>
    <w:uiPriority w:val="99"/>
    <w:qFormat/>
    <w:rPr>
      <w:rFonts w:ascii="Calibri" w:hAnsi="Calibri" w:eastAsia="宋体" w:cs="Times New Roman"/>
      <w:sz w:val="20"/>
      <w:szCs w:val="20"/>
    </w:rPr>
    <w:tblPr>
      <w:tblBorders>
        <w:top w:val="single" w:color="156082" w:themeColor="accent1" w:sz="4" w:space="0"/>
        <w:bottom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880" w:customStyle="1">
    <w:name w:val="List Table 6 Colorful - Accent 2"/>
    <w:uiPriority w:val="99"/>
    <w:qFormat/>
    <w:rPr>
      <w:rFonts w:ascii="Calibri" w:hAnsi="Calibri" w:eastAsia="宋体" w:cs="Times New Roman"/>
      <w:sz w:val="20"/>
      <w:szCs w:val="20"/>
    </w:rPr>
    <w:tblPr>
      <w:tblBorders>
        <w:top w:val="single" w:color="F2AA85" w:themeColor="accent2" w:themeTint="97" w:sz="4" w:space="0"/>
        <w:bottom w:val="single" w:color="F2AA85" w:themeColor="accent2" w:themeTint="97" w:sz="4" w:space="0"/>
      </w:tblBorders>
      <w:tblCellMar>
        <w:left w:w="0" w:type="dxa"/>
        <w:top w:w="0" w:type="dxa"/>
        <w:right w:w="0" w:type="dxa"/>
        <w:bottom w:w="0" w:type="dxa"/>
      </w:tblCellMar>
    </w:tblPr>
    <w:tblStylePr w:type="band1Horz">
      <w:rPr>
        <w:rFonts w:ascii="Arial" w:hAnsi="Arial"/>
        <w:color w:val="e97132" w:themeColor="accent2"/>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e97132" w:themeColor="accent2"/>
        <w:sz w:val="22"/>
      </w:rPr>
    </w:tblStylePr>
    <w:tblStylePr w:type="firstCol">
      <w:rPr>
        <w:b/>
        <w:color w:val="e97132" w:themeColor="accent2"/>
      </w:rPr>
    </w:tblStylePr>
    <w:tblStylePr w:type="firstRow">
      <w:rPr>
        <w:b/>
        <w:color w:val="e97132" w:themeColor="accent2"/>
      </w:rPr>
      <w:tcPr>
        <w:tcBorders>
          <w:bottom w:val="single" w:color="F2AA85" w:themeColor="accent2" w:themeTint="97" w:sz="4" w:space="0"/>
        </w:tcBorders>
      </w:tcPr>
    </w:tblStylePr>
    <w:tblStylePr w:type="lastCol">
      <w:rPr>
        <w:b/>
        <w:color w:val="e97132" w:themeColor="accent2"/>
      </w:rPr>
    </w:tblStylePr>
    <w:tblStylePr w:type="lastRow">
      <w:rPr>
        <w:b/>
        <w:color w:val="e97132" w:themeColor="accent2"/>
      </w:rPr>
      <w:tcPr>
        <w:tcBorders>
          <w:top w:val="single" w:color="F2AA85" w:themeColor="accent2" w:themeTint="97" w:sz="4" w:space="0"/>
        </w:tcBorders>
      </w:tcPr>
    </w:tblStylePr>
  </w:style>
  <w:style w:type="table" w:styleId="881" w:customStyle="1">
    <w:name w:val="List Table 6 Colorful - Accent 3"/>
    <w:uiPriority w:val="99"/>
    <w:qFormat/>
    <w:rPr>
      <w:rFonts w:ascii="Calibri" w:hAnsi="Calibri" w:eastAsia="宋体" w:cs="Times New Roman"/>
      <w:sz w:val="20"/>
      <w:szCs w:val="20"/>
    </w:rPr>
    <w:tblPr>
      <w:tblBorders>
        <w:top w:val="single" w:color="48D45B" w:themeColor="accent3" w:themeTint="98" w:sz="4" w:space="0"/>
        <w:bottom w:val="single" w:color="48D45B" w:themeColor="accent3" w:themeTint="98" w:sz="4" w:space="0"/>
      </w:tblBorders>
      <w:tblCellMar>
        <w:left w:w="0" w:type="dxa"/>
        <w:top w:w="0" w:type="dxa"/>
        <w:right w:w="0" w:type="dxa"/>
        <w:bottom w:w="0" w:type="dxa"/>
      </w:tblCellMar>
    </w:tblPr>
    <w:tblStylePr w:type="band1Horz">
      <w:rPr>
        <w:rFonts w:ascii="Arial" w:hAnsi="Arial"/>
        <w:color w:val="196b24" w:themeColor="accent3"/>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48D45B" w:themeColor="accent3" w:themeTint="98" w:sz="4" w:space="0"/>
        </w:tcBorders>
      </w:tcPr>
    </w:tblStylePr>
    <w:tblStylePr w:type="lastCol">
      <w:rPr>
        <w:b/>
        <w:color w:val="196b24" w:themeColor="accent3"/>
      </w:rPr>
    </w:tblStylePr>
    <w:tblStylePr w:type="lastRow">
      <w:rPr>
        <w:b/>
        <w:color w:val="196b24" w:themeColor="accent3"/>
      </w:rPr>
      <w:tcPr>
        <w:tcBorders>
          <w:top w:val="single" w:color="48D45B" w:themeColor="accent3" w:themeTint="98" w:sz="4" w:space="0"/>
        </w:tcBorders>
      </w:tcPr>
    </w:tblStylePr>
  </w:style>
  <w:style w:type="table" w:styleId="882" w:customStyle="1">
    <w:name w:val="List Table 6 Colorful - Accent 4"/>
    <w:uiPriority w:val="99"/>
    <w:qFormat/>
    <w:rPr>
      <w:rFonts w:ascii="Calibri" w:hAnsi="Calibri" w:eastAsia="宋体" w:cs="Times New Roman"/>
      <w:sz w:val="20"/>
      <w:szCs w:val="20"/>
    </w:rPr>
    <w:tblPr>
      <w:tblBorders>
        <w:top w:val="single" w:color="5FCAF3" w:themeColor="accent4" w:themeTint="9A" w:sz="4" w:space="0"/>
        <w:bottom w:val="single" w:color="5FCAF3" w:themeColor="accent4" w:themeTint="9A" w:sz="4" w:space="0"/>
      </w:tblBorders>
      <w:tblCellMar>
        <w:left w:w="0" w:type="dxa"/>
        <w:top w:w="0" w:type="dxa"/>
        <w:right w:w="0" w:type="dxa"/>
        <w:bottom w:w="0" w:type="dxa"/>
      </w:tblCellMar>
    </w:tblPr>
    <w:tblStylePr w:type="band1Horz">
      <w:rPr>
        <w:rFonts w:ascii="Arial" w:hAnsi="Arial"/>
        <w:color w:val="0f9ed5" w:themeColor="accent4"/>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0f9ed5" w:themeColor="accent4"/>
        <w:sz w:val="22"/>
      </w:rPr>
    </w:tblStylePr>
    <w:tblStylePr w:type="firstCol">
      <w:rPr>
        <w:b/>
        <w:color w:val="0f9ed5" w:themeColor="accent4"/>
      </w:rPr>
    </w:tblStylePr>
    <w:tblStylePr w:type="firstRow">
      <w:rPr>
        <w:b/>
        <w:color w:val="0f9ed5" w:themeColor="accent4"/>
      </w:rPr>
      <w:tcPr>
        <w:tcBorders>
          <w:bottom w:val="single" w:color="5FCAF3" w:themeColor="accent4" w:themeTint="9A" w:sz="4" w:space="0"/>
        </w:tcBorders>
      </w:tcPr>
    </w:tblStylePr>
    <w:tblStylePr w:type="lastCol">
      <w:rPr>
        <w:b/>
        <w:color w:val="0f9ed5" w:themeColor="accent4"/>
      </w:rPr>
    </w:tblStylePr>
    <w:tblStylePr w:type="lastRow">
      <w:rPr>
        <w:b/>
        <w:color w:val="0f9ed5" w:themeColor="accent4"/>
      </w:rPr>
      <w:tcPr>
        <w:tcBorders>
          <w:top w:val="single" w:color="5FCAF3" w:themeColor="accent4" w:themeTint="9A" w:sz="4" w:space="0"/>
        </w:tcBorders>
      </w:tcPr>
    </w:tblStylePr>
  </w:style>
  <w:style w:type="table" w:styleId="883" w:customStyle="1">
    <w:name w:val="List Table 6 Colorful - Accent 5"/>
    <w:uiPriority w:val="99"/>
    <w:qFormat/>
    <w:rPr>
      <w:rFonts w:ascii="Calibri" w:hAnsi="Calibri" w:eastAsia="宋体" w:cs="Times New Roman"/>
      <w:sz w:val="20"/>
      <w:szCs w:val="20"/>
    </w:rPr>
    <w:tblPr>
      <w:tblBorders>
        <w:top w:val="single" w:color="D76CCB" w:themeColor="accent5" w:themeTint="9A" w:sz="4" w:space="0"/>
        <w:bottom w:val="single" w:color="D76CCB" w:themeColor="accent5" w:themeTint="9A" w:sz="4" w:space="0"/>
      </w:tblBorders>
      <w:tblCellMar>
        <w:left w:w="0" w:type="dxa"/>
        <w:top w:w="0" w:type="dxa"/>
        <w:right w:w="0" w:type="dxa"/>
        <w:bottom w:w="0" w:type="dxa"/>
      </w:tblCellMar>
    </w:tblPr>
    <w:tblStylePr w:type="band1Horz">
      <w:rPr>
        <w:rFonts w:ascii="Arial" w:hAnsi="Arial"/>
        <w:color w:val="a02b93" w:themeColor="accent5"/>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a02b93" w:themeColor="accent5"/>
        <w:sz w:val="22"/>
      </w:rPr>
    </w:tblStylePr>
    <w:tblStylePr w:type="firstCol">
      <w:rPr>
        <w:b/>
        <w:color w:val="a02b93" w:themeColor="accent5"/>
      </w:rPr>
    </w:tblStylePr>
    <w:tblStylePr w:type="firstRow">
      <w:rPr>
        <w:b/>
        <w:color w:val="a02b93" w:themeColor="accent5"/>
      </w:rPr>
      <w:tcPr>
        <w:tcBorders>
          <w:bottom w:val="single" w:color="D76CCB" w:themeColor="accent5" w:themeTint="9A" w:sz="4" w:space="0"/>
        </w:tcBorders>
      </w:tcPr>
    </w:tblStylePr>
    <w:tblStylePr w:type="lastCol">
      <w:rPr>
        <w:b/>
        <w:color w:val="a02b93" w:themeColor="accent5"/>
      </w:rPr>
    </w:tblStylePr>
    <w:tblStylePr w:type="lastRow">
      <w:rPr>
        <w:b/>
        <w:color w:val="a02b93" w:themeColor="accent5"/>
      </w:rPr>
      <w:tcPr>
        <w:tcBorders>
          <w:top w:val="single" w:color="D76CCB" w:themeColor="accent5" w:themeTint="9A" w:sz="4" w:space="0"/>
        </w:tcBorders>
      </w:tcPr>
    </w:tblStylePr>
  </w:style>
  <w:style w:type="table" w:styleId="884" w:customStyle="1">
    <w:name w:val="List Table 6 Colorful - Accent 6"/>
    <w:uiPriority w:val="99"/>
    <w:qFormat/>
    <w:rPr>
      <w:rFonts w:ascii="Calibri" w:hAnsi="Calibri" w:eastAsia="宋体" w:cs="Times New Roman"/>
      <w:sz w:val="20"/>
      <w:szCs w:val="20"/>
    </w:rPr>
    <w:tblPr>
      <w:tblBorders>
        <w:top w:val="single" w:color="8ED873" w:themeColor="accent6" w:themeTint="98" w:sz="4" w:space="0"/>
        <w:bottom w:val="single" w:color="8ED873" w:themeColor="accent6" w:themeTint="98" w:sz="4" w:space="0"/>
      </w:tblBorders>
      <w:tblCellMar>
        <w:left w:w="0" w:type="dxa"/>
        <w:top w:w="0" w:type="dxa"/>
        <w:right w:w="0" w:type="dxa"/>
        <w:bottom w:w="0" w:type="dxa"/>
      </w:tblCellMar>
    </w:tblPr>
    <w:tblStylePr w:type="band1Horz">
      <w:rPr>
        <w:rFonts w:ascii="Arial" w:hAnsi="Arial"/>
        <w:color w:val="4ea72e" w:themeColor="accent6"/>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4ea72e" w:themeColor="accent6"/>
        <w:sz w:val="22"/>
      </w:rPr>
    </w:tblStylePr>
    <w:tblStylePr w:type="firstCol">
      <w:rPr>
        <w:b/>
        <w:color w:val="4ea72e" w:themeColor="accent6"/>
      </w:rPr>
    </w:tblStylePr>
    <w:tblStylePr w:type="firstRow">
      <w:rPr>
        <w:b/>
        <w:color w:val="4ea72e" w:themeColor="accent6"/>
      </w:rPr>
      <w:tcPr>
        <w:tcBorders>
          <w:bottom w:val="single" w:color="8ED873" w:themeColor="accent6" w:themeTint="98" w:sz="4" w:space="0"/>
        </w:tcBorders>
      </w:tcPr>
    </w:tblStylePr>
    <w:tblStylePr w:type="lastCol">
      <w:rPr>
        <w:b/>
        <w:color w:val="4ea72e" w:themeColor="accent6"/>
      </w:rPr>
    </w:tblStylePr>
    <w:tblStylePr w:type="lastRow">
      <w:rPr>
        <w:b/>
        <w:color w:val="4ea72e" w:themeColor="accent6"/>
      </w:rPr>
      <w:tcPr>
        <w:tcBorders>
          <w:top w:val="single" w:color="8ED873" w:themeColor="accent6" w:themeTint="98" w:sz="4" w:space="0"/>
        </w:tcBorders>
      </w:tcPr>
    </w:tblStylePr>
  </w:style>
  <w:style w:type="table" w:styleId="885" w:customStyle="1">
    <w:name w:val="清单表 7 彩色1"/>
    <w:uiPriority w:val="99"/>
    <w:qFormat/>
    <w:rPr>
      <w:rFonts w:ascii="Calibri" w:hAnsi="Calibri" w:eastAsia="宋体" w:cs="Times New Roman"/>
      <w:sz w:val="20"/>
      <w:szCs w:val="20"/>
    </w:r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rFonts w:ascii="Arial" w:hAnsi="Arial"/>
        <w:i/>
        <w:color w:val="000000" w:themeColor="text1"/>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000000" w:themeColor="text1"/>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000000" w:themeColor="text1"/>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000000" w:themeColor="text1"/>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rPr>
      <w:rFonts w:ascii="Calibri" w:hAnsi="Calibri" w:eastAsia="宋体" w:cs="Times New Roman"/>
      <w:sz w:val="20"/>
      <w:szCs w:val="20"/>
    </w:rPr>
    <w:tblPr>
      <w:tblBorders>
        <w:right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rPr>
      <w:rFonts w:ascii="Calibri" w:hAnsi="Calibri" w:eastAsia="宋体" w:cs="Times New Roman"/>
      <w:sz w:val="20"/>
      <w:szCs w:val="20"/>
    </w:rPr>
    <w:tblPr>
      <w:tblBorders>
        <w:right w:val="single" w:color="F2AA85" w:themeColor="accent2" w:themeTint="97" w:sz="4" w:space="0"/>
      </w:tblBorders>
      <w:tblCellMar>
        <w:left w:w="0" w:type="dxa"/>
        <w:top w:w="0" w:type="dxa"/>
        <w:right w:w="0" w:type="dxa"/>
        <w:bottom w:w="0" w:type="dxa"/>
      </w:tblCellMar>
    </w:tblPr>
    <w:tblStylePr w:type="band1Horz">
      <w:rPr>
        <w:rFonts w:ascii="Arial" w:hAnsi="Arial"/>
        <w:color w:val="e97132" w:themeColor="accent2"/>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e97132" w:themeColor="accent2"/>
        <w:sz w:val="22"/>
      </w:rPr>
    </w:tblStylePr>
    <w:tblStylePr w:type="firstCol">
      <w:rPr>
        <w:rFonts w:ascii="Arial" w:hAnsi="Arial"/>
        <w:i/>
        <w:color w:val="e97132" w:themeColor="accent2"/>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e97132" w:themeColor="accent2"/>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e97132" w:themeColor="accent2"/>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e97132" w:themeColor="accent2"/>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rPr>
      <w:rFonts w:ascii="Calibri" w:hAnsi="Calibri" w:eastAsia="宋体" w:cs="Times New Roman"/>
      <w:sz w:val="20"/>
      <w:szCs w:val="20"/>
    </w:rPr>
    <w:tblPr>
      <w:tblBorders>
        <w:right w:val="single" w:color="48D45B" w:themeColor="accent3" w:themeTint="98" w:sz="4" w:space="0"/>
      </w:tblBorders>
      <w:tblCellMar>
        <w:left w:w="0" w:type="dxa"/>
        <w:top w:w="0" w:type="dxa"/>
        <w:right w:w="0" w:type="dxa"/>
        <w:bottom w:w="0" w:type="dxa"/>
      </w:tblCellMar>
    </w:tblPr>
    <w:tblStylePr w:type="band1Horz">
      <w:rPr>
        <w:rFonts w:ascii="Arial" w:hAnsi="Arial"/>
        <w:color w:val="196b24" w:themeColor="accent3"/>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196b24" w:themeColor="accent3"/>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196b24" w:themeColor="accent3"/>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rPr>
      <w:rFonts w:ascii="Calibri" w:hAnsi="Calibri" w:eastAsia="宋体" w:cs="Times New Roman"/>
      <w:sz w:val="20"/>
      <w:szCs w:val="20"/>
    </w:rPr>
    <w:tblPr>
      <w:tblBorders>
        <w:right w:val="single" w:color="5FCAF3" w:themeColor="accent4" w:themeTint="9A" w:sz="4" w:space="0"/>
      </w:tblBorders>
      <w:tblCellMar>
        <w:left w:w="0" w:type="dxa"/>
        <w:top w:w="0" w:type="dxa"/>
        <w:right w:w="0" w:type="dxa"/>
        <w:bottom w:w="0" w:type="dxa"/>
      </w:tblCellMar>
    </w:tblPr>
    <w:tblStylePr w:type="band1Horz">
      <w:rPr>
        <w:rFonts w:ascii="Arial" w:hAnsi="Arial"/>
        <w:color w:val="0f9ed5" w:themeColor="accent4"/>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0f9ed5" w:themeColor="accent4"/>
        <w:sz w:val="22"/>
      </w:rPr>
    </w:tblStylePr>
    <w:tblStylePr w:type="firstCol">
      <w:rPr>
        <w:rFonts w:ascii="Arial" w:hAnsi="Arial"/>
        <w:i/>
        <w:color w:val="0f9ed5" w:themeColor="accent4"/>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0f9ed5" w:themeColor="accent4"/>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0f9ed5" w:themeColor="accent4"/>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0f9ed5" w:themeColor="accent4"/>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rPr>
      <w:rFonts w:ascii="Calibri" w:hAnsi="Calibri" w:eastAsia="宋体" w:cs="Times New Roman"/>
      <w:sz w:val="20"/>
      <w:szCs w:val="20"/>
    </w:rPr>
    <w:tblPr>
      <w:tblBorders>
        <w:right w:val="single" w:color="D76CCB" w:themeColor="accent5" w:themeTint="9A" w:sz="4" w:space="0"/>
      </w:tblBorders>
      <w:tblCellMar>
        <w:left w:w="0" w:type="dxa"/>
        <w:top w:w="0" w:type="dxa"/>
        <w:right w:w="0" w:type="dxa"/>
        <w:bottom w:w="0" w:type="dxa"/>
      </w:tblCellMar>
    </w:tblPr>
    <w:tblStylePr w:type="band1Horz">
      <w:rPr>
        <w:rFonts w:ascii="Arial" w:hAnsi="Arial"/>
        <w:color w:val="a02b93" w:themeColor="accent5"/>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a02b93" w:themeColor="accent5"/>
        <w:sz w:val="22"/>
      </w:rPr>
    </w:tblStylePr>
    <w:tblStylePr w:type="firstCol">
      <w:rPr>
        <w:rFonts w:ascii="Arial" w:hAnsi="Arial"/>
        <w:i/>
        <w:color w:val="a02b93" w:themeColor="accent5"/>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a02b93" w:themeColor="accent5"/>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a02b93" w:themeColor="accent5"/>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a02b93" w:themeColor="accent5"/>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rPr>
      <w:rFonts w:ascii="Calibri" w:hAnsi="Calibri" w:eastAsia="宋体" w:cs="Times New Roman"/>
      <w:sz w:val="20"/>
      <w:szCs w:val="20"/>
    </w:rPr>
    <w:tblPr>
      <w:tblBorders>
        <w:right w:val="single" w:color="8ED873" w:themeColor="accent6" w:themeTint="98" w:sz="4" w:space="0"/>
      </w:tblBorders>
      <w:tblCellMar>
        <w:left w:w="0" w:type="dxa"/>
        <w:top w:w="0" w:type="dxa"/>
        <w:right w:w="0" w:type="dxa"/>
        <w:bottom w:w="0" w:type="dxa"/>
      </w:tblCellMar>
    </w:tblPr>
    <w:tblStylePr w:type="band1Horz">
      <w:rPr>
        <w:rFonts w:ascii="Arial" w:hAnsi="Arial"/>
        <w:color w:val="4ea72e" w:themeColor="accent6"/>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4ea72e" w:themeColor="accent6"/>
        <w:sz w:val="22"/>
      </w:rPr>
    </w:tblStylePr>
    <w:tblStylePr w:type="firstCol">
      <w:rPr>
        <w:rFonts w:ascii="Arial" w:hAnsi="Arial"/>
        <w:i/>
        <w:color w:val="4ea72e" w:themeColor="accent6"/>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4ea72e" w:themeColor="accent6"/>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4ea72e" w:themeColor="accent6"/>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4ea72e" w:themeColor="accent6"/>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Lined - Accent 1"/>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94" w:customStyle="1">
    <w:name w:val="Lined - Accent 2"/>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895" w:customStyle="1">
    <w:name w:val="Lined - Accent 3"/>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96" w:customStyle="1">
    <w:name w:val="Lined - Accent 4"/>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97" w:customStyle="1">
    <w:name w:val="Lined - Accent 5"/>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98" w:customStyle="1">
    <w:name w:val="Lined - Accent 6"/>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99" w:customStyle="1">
    <w:name w:val="Bordered &amp; Lined - Accent"/>
    <w:uiPriority w:val="99"/>
    <w:qFormat/>
    <w:rPr>
      <w:rFonts w:ascii="Calibri" w:hAnsi="Calibri" w:eastAsia="宋体" w:cs="Times New Roman"/>
      <w:color w:val="404040"/>
      <w:sz w:val="20"/>
      <w:szCs w:val="2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Bordered &amp; Lined - Accent 1"/>
    <w:uiPriority w:val="99"/>
    <w:qFormat/>
    <w:rPr>
      <w:rFonts w:ascii="Calibri" w:hAnsi="Calibri" w:eastAsia="宋体" w:cs="Times New Roman"/>
      <w:color w:val="404040"/>
      <w:sz w:val="20"/>
      <w:szCs w:val="2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01" w:customStyle="1">
    <w:name w:val="Bordered &amp; Lined - Accent 2"/>
    <w:uiPriority w:val="99"/>
    <w:qFormat/>
    <w:rPr>
      <w:rFonts w:ascii="Calibri" w:hAnsi="Calibri" w:eastAsia="宋体" w:cs="Times New Roman"/>
      <w:color w:val="404040"/>
      <w:sz w:val="20"/>
      <w:szCs w:val="2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02" w:customStyle="1">
    <w:name w:val="Bordered &amp; Lined - Accent 3"/>
    <w:uiPriority w:val="99"/>
    <w:qFormat/>
    <w:rPr>
      <w:rFonts w:ascii="Calibri" w:hAnsi="Calibri" w:eastAsia="宋体" w:cs="Times New Roman"/>
      <w:color w:val="404040"/>
      <w:sz w:val="20"/>
      <w:szCs w:val="2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03" w:customStyle="1">
    <w:name w:val="Bordered &amp; Lined - Accent 4"/>
    <w:uiPriority w:val="99"/>
    <w:qFormat/>
    <w:rPr>
      <w:rFonts w:ascii="Calibri" w:hAnsi="Calibri" w:eastAsia="宋体" w:cs="Times New Roman"/>
      <w:color w:val="404040"/>
      <w:sz w:val="20"/>
      <w:szCs w:val="2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04" w:customStyle="1">
    <w:name w:val="Bordered &amp; Lined - Accent 5"/>
    <w:uiPriority w:val="99"/>
    <w:qFormat/>
    <w:rPr>
      <w:rFonts w:ascii="Calibri" w:hAnsi="Calibri" w:eastAsia="宋体" w:cs="Times New Roman"/>
      <w:color w:val="404040"/>
      <w:sz w:val="20"/>
      <w:szCs w:val="2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05" w:customStyle="1">
    <w:name w:val="Bordered &amp; Lined - Accent 6"/>
    <w:uiPriority w:val="99"/>
    <w:qFormat/>
    <w:rPr>
      <w:rFonts w:ascii="Calibri" w:hAnsi="Calibri" w:eastAsia="宋体" w:cs="Times New Roman"/>
      <w:color w:val="404040"/>
      <w:sz w:val="20"/>
      <w:szCs w:val="2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06" w:customStyle="1">
    <w:name w:val="Bordered"/>
    <w:uiPriority w:val="99"/>
    <w:qFormat/>
    <w:rPr>
      <w:rFonts w:ascii="Calibri" w:hAnsi="Calibri" w:eastAsia="宋体" w:cs="Times New Roman"/>
      <w:sz w:val="20"/>
      <w:szCs w:val="20"/>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7" w:customStyle="1">
    <w:name w:val="Bordered - Accent 1"/>
    <w:uiPriority w:val="99"/>
    <w:qFormat/>
    <w:rPr>
      <w:rFonts w:ascii="Calibri" w:hAnsi="Calibri" w:eastAsia="宋体" w:cs="Times New Roman"/>
      <w:sz w:val="20"/>
      <w:szCs w:val="20"/>
    </w:rPr>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08" w:customStyle="1">
    <w:name w:val="Bordered - Accent 2"/>
    <w:uiPriority w:val="99"/>
    <w:qFormat/>
    <w:rPr>
      <w:rFonts w:ascii="Calibri" w:hAnsi="Calibri" w:eastAsia="宋体" w:cs="Times New Roman"/>
      <w:sz w:val="20"/>
      <w:szCs w:val="20"/>
    </w:rPr>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09" w:customStyle="1">
    <w:name w:val="Bordered - Accent 3"/>
    <w:uiPriority w:val="99"/>
    <w:qFormat/>
    <w:rPr>
      <w:rFonts w:ascii="Calibri" w:hAnsi="Calibri" w:eastAsia="宋体" w:cs="Times New Roman"/>
      <w:sz w:val="20"/>
      <w:szCs w:val="20"/>
    </w:r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10" w:customStyle="1">
    <w:name w:val="Bordered - Accent 4"/>
    <w:uiPriority w:val="99"/>
    <w:qFormat/>
    <w:rPr>
      <w:rFonts w:ascii="Calibri" w:hAnsi="Calibri" w:eastAsia="宋体" w:cs="Times New Roman"/>
      <w:sz w:val="20"/>
      <w:szCs w:val="20"/>
    </w:rPr>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11" w:customStyle="1">
    <w:name w:val="Bordered - Accent 5"/>
    <w:uiPriority w:val="99"/>
    <w:qFormat/>
    <w:rPr>
      <w:rFonts w:ascii="Calibri" w:hAnsi="Calibri" w:eastAsia="宋体" w:cs="Times New Roman"/>
      <w:sz w:val="20"/>
      <w:szCs w:val="20"/>
    </w:r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12" w:customStyle="1">
    <w:name w:val="Bordered - Accent 6"/>
    <w:uiPriority w:val="99"/>
    <w:qFormat/>
    <w:rPr>
      <w:rFonts w:ascii="Calibri" w:hAnsi="Calibri" w:eastAsia="宋体" w:cs="Times New Roman"/>
      <w:sz w:val="20"/>
      <w:szCs w:val="20"/>
    </w:r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paragraph" w:styleId="913" w:customStyle="1">
    <w:name w:val="TOC 标题1"/>
    <w:uiPriority w:val="39"/>
    <w:unhideWhenUsed/>
    <w:qFormat/>
    <w:pPr>
      <w:spacing w:after="160" w:line="278" w:lineRule="auto"/>
    </w:pPr>
    <w:rPr>
      <w:rFonts w:ascii="Calibri" w:hAnsi="Calibri" w:eastAsia="宋体" w:cs="Times New Roman"/>
      <w:sz w:val="20"/>
      <w:szCs w:val="20"/>
    </w:rPr>
  </w:style>
  <w:style w:type="paragraph" w:styleId="914" w:customStyle="1">
    <w:name w:val="标题 11"/>
    <w:basedOn w:val="725"/>
    <w:next w:val="725"/>
    <w:link w:val="926"/>
    <w:qFormat/>
    <w:pPr>
      <w:jc w:val="center"/>
      <w:keepNext/>
      <w:outlineLvl w:val="0"/>
    </w:pPr>
    <w:rPr>
      <w:rFonts w:ascii="楷体_GB2312" w:hAnsi="Times New Roman" w:eastAsia="楷体_GB2312"/>
      <w:sz w:val="28"/>
      <w:szCs w:val="28"/>
    </w:rPr>
  </w:style>
  <w:style w:type="paragraph" w:styleId="915" w:customStyle="1">
    <w:name w:val="标题 21"/>
    <w:basedOn w:val="725"/>
    <w:next w:val="916"/>
    <w:link w:val="927"/>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正文缩进1"/>
    <w:basedOn w:val="725"/>
    <w:link w:val="937"/>
    <w:uiPriority w:val="99"/>
    <w:qFormat/>
    <w:pPr>
      <w:ind w:firstLine="420"/>
    </w:pPr>
    <w:rPr>
      <w:szCs w:val="21"/>
    </w:rPr>
  </w:style>
  <w:style w:type="paragraph" w:styleId="917" w:customStyle="1">
    <w:name w:val="标题 31"/>
    <w:basedOn w:val="725"/>
    <w:next w:val="916"/>
    <w:link w:val="928"/>
    <w:qFormat/>
    <w:pPr>
      <w:keepLines/>
      <w:keepNext/>
      <w:spacing w:before="260" w:after="260" w:line="416" w:lineRule="auto"/>
      <w:outlineLvl w:val="2"/>
    </w:pPr>
    <w:rPr>
      <w:rFonts w:ascii="Times New Roman" w:hAnsi="Times New Roman"/>
      <w:b/>
      <w:bCs/>
      <w:sz w:val="32"/>
      <w:szCs w:val="32"/>
    </w:rPr>
  </w:style>
  <w:style w:type="paragraph" w:styleId="918" w:customStyle="1">
    <w:name w:val="标题 41"/>
    <w:basedOn w:val="725"/>
    <w:next w:val="916"/>
    <w:link w:val="929"/>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5"/>
    <w:next w:val="916"/>
    <w:link w:val="930"/>
    <w:qFormat/>
    <w:pPr>
      <w:keepNext/>
      <w:outlineLvl w:val="4"/>
    </w:pPr>
    <w:rPr>
      <w:rFonts w:ascii="宋体" w:hAnsi="Times New Roman"/>
      <w:color w:val="000000"/>
      <w:sz w:val="28"/>
      <w:szCs w:val="28"/>
    </w:rPr>
  </w:style>
  <w:style w:type="paragraph" w:styleId="920" w:customStyle="1">
    <w:name w:val="标题 61"/>
    <w:basedOn w:val="725"/>
    <w:next w:val="725"/>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21" w:customStyle="1">
    <w:name w:val="标题 71"/>
    <w:basedOn w:val="725"/>
    <w:next w:val="725"/>
    <w:link w:val="93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22" w:customStyle="1">
    <w:name w:val="标题 81"/>
    <w:basedOn w:val="725"/>
    <w:next w:val="725"/>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3" w:customStyle="1">
    <w:name w:val="标题 91"/>
    <w:basedOn w:val="725"/>
    <w:next w:val="725"/>
    <w:link w:val="934"/>
    <w:qFormat/>
    <w:pPr>
      <w:numPr>
        <w:ilvl w:val="8"/>
        <w:numId w:val="1"/>
      </w:numPr>
      <w:keepLines/>
      <w:keepNext/>
      <w:spacing w:before="240" w:after="64" w:line="320" w:lineRule="auto"/>
      <w:outlineLvl w:val="8"/>
    </w:pPr>
    <w:rPr>
      <w:rFonts w:ascii="Arial" w:hAnsi="Arial" w:eastAsia="黑体"/>
      <w:szCs w:val="21"/>
    </w:rPr>
  </w:style>
  <w:style w:type="character" w:styleId="924" w:customStyle="1">
    <w:name w:val="默认段落字体1"/>
    <w:uiPriority w:val="1"/>
    <w:semiHidden/>
    <w:unhideWhenUsed/>
    <w:qFormat/>
  </w:style>
  <w:style w:type="table" w:styleId="925" w:customStyle="1">
    <w:name w:val="普通表格1"/>
    <w:uiPriority w:val="99"/>
    <w:semiHidden/>
    <w:unhideWhenUsed/>
    <w:qFormat/>
    <w:pPr>
      <w:spacing w:after="160" w:line="278" w:lineRule="auto"/>
    </w:pPr>
    <w:rPr>
      <w:rFonts w:ascii="Calibri" w:hAnsi="Calibri" w:eastAsia="宋体" w:cs="Times New Roman"/>
      <w:sz w:val="20"/>
      <w:szCs w:val="20"/>
    </w:rPr>
    <w:tblPr>
      <w:tblCellMar>
        <w:left w:w="0" w:type="dxa"/>
        <w:top w:w="0" w:type="dxa"/>
        <w:right w:w="0" w:type="dxa"/>
        <w:bottom w:w="0" w:type="dxa"/>
      </w:tblCellMar>
    </w:tblPr>
  </w:style>
  <w:style w:type="character" w:styleId="926" w:customStyle="1">
    <w:name w:val="标题 1 Char"/>
    <w:link w:val="914"/>
    <w:qFormat/>
    <w:rPr>
      <w:rFonts w:ascii="楷体_GB2312" w:hAnsi="Times New Roman" w:eastAsia="楷体_GB2312" w:cs="Times New Roman"/>
      <w:sz w:val="28"/>
      <w:szCs w:val="28"/>
    </w:rPr>
  </w:style>
  <w:style w:type="character" w:styleId="927" w:customStyle="1">
    <w:name w:val="标题 2 Char"/>
    <w:link w:val="915"/>
    <w:qFormat/>
    <w:rPr>
      <w:rFonts w:ascii="Arial" w:hAnsi="Arial" w:eastAsia="幼圆" w:cs="Arial"/>
      <w:b/>
      <w:bCs/>
      <w:sz w:val="44"/>
      <w:szCs w:val="44"/>
    </w:rPr>
  </w:style>
  <w:style w:type="character" w:styleId="928" w:customStyle="1">
    <w:name w:val="标题 3 Char"/>
    <w:link w:val="917"/>
    <w:qFormat/>
    <w:rPr>
      <w:rFonts w:ascii="Times New Roman" w:hAnsi="Times New Roman" w:eastAsia="宋体" w:cs="Times New Roman"/>
      <w:b/>
      <w:bCs/>
      <w:sz w:val="32"/>
      <w:szCs w:val="32"/>
    </w:rPr>
  </w:style>
  <w:style w:type="character" w:styleId="929" w:customStyle="1">
    <w:name w:val="标题 4 Char"/>
    <w:link w:val="918"/>
    <w:qFormat/>
    <w:rPr>
      <w:rFonts w:ascii="Arial" w:hAnsi="Arial" w:eastAsia="黑体" w:cs="Arial"/>
      <w:b/>
      <w:bCs/>
      <w:sz w:val="28"/>
      <w:szCs w:val="28"/>
    </w:rPr>
  </w:style>
  <w:style w:type="character" w:styleId="930" w:customStyle="1">
    <w:name w:val="标题 5 Char"/>
    <w:link w:val="919"/>
    <w:qFormat/>
    <w:rPr>
      <w:rFonts w:ascii="宋体" w:hAnsi="Times New Roman" w:eastAsia="宋体" w:cs="Times New Roman"/>
      <w:color w:val="000000"/>
      <w:sz w:val="28"/>
      <w:szCs w:val="28"/>
    </w:rPr>
  </w:style>
  <w:style w:type="character" w:styleId="931" w:customStyle="1">
    <w:name w:val="标题 6 Char"/>
    <w:link w:val="920"/>
    <w:qFormat/>
    <w:rPr>
      <w:rFonts w:ascii="Arial" w:hAnsi="Arial" w:eastAsia="黑体" w:cs="Times New Roman"/>
      <w:b/>
      <w:bCs/>
      <w:sz w:val="24"/>
      <w:szCs w:val="24"/>
    </w:rPr>
  </w:style>
  <w:style w:type="character" w:styleId="932" w:customStyle="1">
    <w:name w:val="标题 7 Char"/>
    <w:link w:val="921"/>
    <w:qFormat/>
    <w:rPr>
      <w:rFonts w:ascii="Times New Roman" w:hAnsi="Times New Roman" w:eastAsia="宋体" w:cs="Times New Roman"/>
      <w:b/>
      <w:bCs/>
      <w:sz w:val="24"/>
      <w:szCs w:val="24"/>
    </w:rPr>
  </w:style>
  <w:style w:type="character" w:styleId="933" w:customStyle="1">
    <w:name w:val="标题 8 Char"/>
    <w:link w:val="922"/>
    <w:qFormat/>
    <w:rPr>
      <w:rFonts w:ascii="Arial" w:hAnsi="Arial" w:eastAsia="黑体" w:cs="Times New Roman"/>
      <w:sz w:val="24"/>
      <w:szCs w:val="24"/>
    </w:rPr>
  </w:style>
  <w:style w:type="character" w:styleId="934" w:customStyle="1">
    <w:name w:val="标题 9 Char"/>
    <w:link w:val="923"/>
    <w:qFormat/>
    <w:rPr>
      <w:rFonts w:ascii="Arial" w:hAnsi="Arial" w:eastAsia="黑体" w:cs="Times New Roman"/>
      <w:szCs w:val="21"/>
    </w:rPr>
  </w:style>
  <w:style w:type="character" w:styleId="935" w:customStyle="1">
    <w:name w:val="访问过的超链接1"/>
    <w:qFormat/>
    <w:rPr>
      <w:color w:val="800080"/>
      <w:u w:val="single"/>
    </w:rPr>
  </w:style>
  <w:style w:type="character" w:styleId="936" w:customStyle="1">
    <w:name w:val="font5 Char"/>
    <w:qFormat/>
    <w:rPr>
      <w:rFonts w:ascii="宋体" w:hAnsi="宋体" w:eastAsia="宋体"/>
      <w:sz w:val="28"/>
      <w:szCs w:val="28"/>
      <w:lang w:val="en-US" w:eastAsia="zh-CN" w:bidi="ar-SA"/>
    </w:rPr>
  </w:style>
  <w:style w:type="character" w:styleId="937" w:customStyle="1">
    <w:name w:val="正文缩进 Char"/>
    <w:link w:val="916"/>
    <w:uiPriority w:val="99"/>
    <w:qFormat/>
    <w:rPr>
      <w:rFonts w:ascii="Calibri" w:hAnsi="Calibri" w:eastAsia="宋体" w:cs="Times New Roman"/>
      <w:szCs w:val="21"/>
    </w:rPr>
  </w:style>
  <w:style w:type="character" w:styleId="938" w:customStyle="1">
    <w:name w:val="批注引用1"/>
    <w:semiHidden/>
    <w:qFormat/>
    <w:rPr>
      <w:sz w:val="21"/>
      <w:szCs w:val="21"/>
    </w:rPr>
  </w:style>
  <w:style w:type="character" w:styleId="939" w:customStyle="1">
    <w:name w:val="要点1"/>
    <w:qFormat/>
    <w:rPr>
      <w:b/>
      <w:bCs/>
    </w:rPr>
  </w:style>
  <w:style w:type="character" w:styleId="940" w:customStyle="1">
    <w:name w:val="超链接1"/>
    <w:qFormat/>
    <w:rPr>
      <w:color w:val="0000ff"/>
      <w:u w:val="single"/>
    </w:rPr>
  </w:style>
  <w:style w:type="character" w:styleId="941" w:customStyle="1">
    <w:name w:val="页码1"/>
    <w:qFormat/>
  </w:style>
  <w:style w:type="character" w:styleId="942" w:customStyle="1">
    <w:name w:val="二级目录 Char"/>
    <w:link w:val="943"/>
    <w:qFormat/>
    <w:rPr>
      <w:b/>
      <w:sz w:val="30"/>
      <w:szCs w:val="28"/>
    </w:rPr>
  </w:style>
  <w:style w:type="paragraph" w:styleId="943" w:customStyle="1">
    <w:name w:val="二级目录"/>
    <w:next w:val="725"/>
    <w:link w:val="942"/>
    <w:qFormat/>
    <w:pPr>
      <w:ind w:left="907" w:hanging="907"/>
      <w:spacing w:after="160" w:line="278" w:lineRule="auto"/>
      <w:tabs>
        <w:tab w:val="left" w:pos="907" w:leader="none"/>
        <w:tab w:val="left" w:pos="1145" w:leader="none"/>
      </w:tabs>
      <w:outlineLvl w:val="1"/>
    </w:pPr>
    <w:rPr>
      <w:b/>
      <w:sz w:val="30"/>
      <w:szCs w:val="28"/>
    </w:rPr>
  </w:style>
  <w:style w:type="character" w:styleId="944" w:customStyle="1">
    <w:name w:val="列出段落 Char"/>
    <w:link w:val="945"/>
    <w:qFormat/>
    <w:rPr>
      <w:rFonts w:ascii="Calibri" w:hAnsi="Calibri"/>
      <w:sz w:val="24"/>
      <w:szCs w:val="24"/>
      <w:lang w:eastAsia="en-US" w:bidi="en-US"/>
    </w:rPr>
  </w:style>
  <w:style w:type="paragraph" w:styleId="945" w:customStyle="1">
    <w:name w:val="列出段落1"/>
    <w:basedOn w:val="725"/>
    <w:link w:val="944"/>
    <w:qFormat/>
    <w:pPr>
      <w:contextualSpacing/>
      <w:ind w:left="720"/>
      <w:jc w:val="left"/>
      <w:widowControl/>
    </w:pPr>
    <w:rPr>
      <w:rFonts w:eastAsiaTheme="minorEastAsia" w:cstheme="minorBidi"/>
      <w:sz w:val="24"/>
      <w:szCs w:val="24"/>
      <w:lang w:eastAsia="en-US" w:bidi="en-US"/>
    </w:rPr>
  </w:style>
  <w:style w:type="paragraph" w:styleId="946" w:customStyle="1">
    <w:name w:val="Body Text(ch)"/>
    <w:basedOn w:val="725"/>
    <w:next w:val="947"/>
    <w:qFormat/>
    <w:pPr>
      <w:spacing w:after="120"/>
    </w:pPr>
    <w:rPr>
      <w:rFonts w:ascii="宋体" w:hAnsi="Arial"/>
      <w:bCs/>
      <w:iCs/>
      <w:szCs w:val="24"/>
    </w:rPr>
  </w:style>
  <w:style w:type="paragraph" w:styleId="947" w:customStyle="1">
    <w:name w:val="正文文本1"/>
    <w:basedOn w:val="725"/>
    <w:link w:val="952"/>
    <w:qFormat/>
    <w:rPr>
      <w:rFonts w:ascii="楷体_GB2312" w:hAnsi="Arial" w:eastAsia="楷体_GB2312"/>
      <w:sz w:val="28"/>
      <w:szCs w:val="28"/>
    </w:rPr>
  </w:style>
  <w:style w:type="paragraph" w:styleId="948" w:customStyle="1">
    <w:name w:val="目录 91"/>
    <w:basedOn w:val="725"/>
    <w:next w:val="725"/>
    <w:semiHidden/>
    <w:qFormat/>
    <w:pPr>
      <w:ind w:left="1680"/>
      <w:jc w:val="left"/>
    </w:pPr>
    <w:rPr>
      <w:rFonts w:ascii="Times New Roman" w:hAnsi="Times New Roman"/>
      <w:szCs w:val="21"/>
    </w:rPr>
  </w:style>
  <w:style w:type="paragraph" w:styleId="949" w:customStyle="1">
    <w:name w:val="xl27"/>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正文文本缩进 21"/>
    <w:basedOn w:val="725"/>
    <w:link w:val="951"/>
    <w:qFormat/>
    <w:pPr>
      <w:ind w:left="630" w:firstLine="645"/>
    </w:pPr>
    <w:rPr>
      <w:rFonts w:ascii="Arial" w:hAnsi="Arial" w:eastAsia="仿宋_GB2312" w:cs="Arial"/>
      <w:sz w:val="32"/>
      <w:szCs w:val="32"/>
    </w:rPr>
  </w:style>
  <w:style w:type="character" w:styleId="951" w:customStyle="1">
    <w:name w:val="正文文本缩进 2 Char"/>
    <w:link w:val="950"/>
    <w:qFormat/>
    <w:rPr>
      <w:rFonts w:ascii="Arial" w:hAnsi="Arial" w:eastAsia="仿宋_GB2312" w:cs="Arial"/>
      <w:sz w:val="32"/>
      <w:szCs w:val="32"/>
    </w:rPr>
  </w:style>
  <w:style w:type="character" w:styleId="952" w:customStyle="1">
    <w:name w:val="正文文本 Char"/>
    <w:link w:val="947"/>
    <w:qFormat/>
    <w:rPr>
      <w:rFonts w:ascii="楷体_GB2312" w:hAnsi="Arial" w:eastAsia="楷体_GB2312" w:cs="Times New Roman"/>
      <w:sz w:val="28"/>
      <w:szCs w:val="28"/>
    </w:rPr>
  </w:style>
  <w:style w:type="paragraph" w:styleId="953" w:customStyle="1">
    <w:name w:val="图表目录1"/>
    <w:basedOn w:val="725"/>
    <w:next w:val="725"/>
    <w:semiHidden/>
    <w:qFormat/>
    <w:pPr>
      <w:ind w:left="840" w:hanging="420"/>
    </w:pPr>
    <w:rPr>
      <w:rFonts w:ascii="Times New Roman" w:hAnsi="Times New Roman"/>
      <w:szCs w:val="21"/>
    </w:rPr>
  </w:style>
  <w:style w:type="paragraph" w:styleId="954" w:customStyle="1">
    <w:name w:val="xl2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725"/>
    <w:qFormat/>
    <w:pPr>
      <w:ind w:firstLine="200"/>
      <w:tabs>
        <w:tab w:val="left" w:pos="360" w:leader="none"/>
      </w:tabs>
    </w:pPr>
    <w:rPr>
      <w:rFonts w:ascii="Times New Roman" w:hAnsi="Times New Roman"/>
      <w:sz w:val="28"/>
      <w:szCs w:val="30"/>
    </w:rPr>
  </w:style>
  <w:style w:type="paragraph" w:styleId="956" w:customStyle="1">
    <w:name w:val="Char1"/>
    <w:basedOn w:val="957"/>
    <w:qFormat/>
    <w:rPr>
      <w:rFonts w:ascii="Tahoma" w:hAnsi="Tahoma"/>
      <w:sz w:val="24"/>
      <w:szCs w:val="24"/>
    </w:rPr>
  </w:style>
  <w:style w:type="paragraph" w:styleId="957" w:customStyle="1">
    <w:name w:val="文档结构图1"/>
    <w:basedOn w:val="725"/>
    <w:link w:val="981"/>
    <w:semiHidden/>
    <w:qFormat/>
    <w:pPr>
      <w:shd w:val="clear" w:color="auto" w:fill="000080"/>
    </w:pPr>
    <w:rPr>
      <w:rFonts w:ascii="Times New Roman" w:hAnsi="Times New Roman"/>
      <w:szCs w:val="21"/>
    </w:rPr>
  </w:style>
  <w:style w:type="paragraph" w:styleId="958" w:customStyle="1">
    <w:name w:val="批注文字1"/>
    <w:basedOn w:val="725"/>
    <w:link w:val="959"/>
    <w:semiHidden/>
    <w:unhideWhenUsed/>
    <w:qFormat/>
    <w:pPr>
      <w:jc w:val="left"/>
    </w:pPr>
  </w:style>
  <w:style w:type="character" w:styleId="959" w:customStyle="1">
    <w:name w:val="批注文字 Char"/>
    <w:basedOn w:val="924"/>
    <w:link w:val="958"/>
    <w:semiHidden/>
    <w:qFormat/>
    <w:rPr>
      <w:rFonts w:ascii="Calibri" w:hAnsi="Calibri" w:eastAsia="宋体" w:cs="Times New Roman"/>
    </w:rPr>
  </w:style>
  <w:style w:type="paragraph" w:styleId="960" w:customStyle="1">
    <w:name w:val="批注主题1"/>
    <w:basedOn w:val="958"/>
    <w:next w:val="958"/>
    <w:link w:val="961"/>
    <w:semiHidden/>
    <w:qFormat/>
    <w:rPr>
      <w:rFonts w:ascii="Times New Roman" w:hAnsi="Times New Roman"/>
      <w:b/>
      <w:bCs/>
      <w:szCs w:val="21"/>
    </w:rPr>
  </w:style>
  <w:style w:type="character" w:styleId="961" w:customStyle="1">
    <w:name w:val="批注主题 Char"/>
    <w:link w:val="960"/>
    <w:semiHidden/>
    <w:qFormat/>
    <w:rPr>
      <w:rFonts w:ascii="Times New Roman" w:hAnsi="Times New Roman" w:eastAsia="宋体" w:cs="Times New Roman"/>
      <w:b/>
      <w:bCs/>
      <w:szCs w:val="21"/>
    </w:rPr>
  </w:style>
  <w:style w:type="paragraph" w:styleId="962" w:customStyle="1">
    <w:name w:val="索引 11"/>
    <w:basedOn w:val="725"/>
    <w:next w:val="725"/>
    <w:semiHidden/>
    <w:qFormat/>
    <w:pPr>
      <w:spacing w:line="240" w:lineRule="atLeast"/>
    </w:pPr>
    <w:rPr>
      <w:rFonts w:ascii="Times New Roman" w:hAnsi="Times New Roman"/>
      <w:b/>
      <w:bCs/>
      <w:szCs w:val="21"/>
    </w:rPr>
  </w:style>
  <w:style w:type="paragraph" w:styleId="963" w:customStyle="1">
    <w:name w:val="普通正文"/>
    <w:basedOn w:val="725"/>
    <w:qFormat/>
    <w:pPr>
      <w:ind w:firstLine="480"/>
      <w:jc w:val="left"/>
      <w:spacing w:before="120" w:after="120" w:line="360" w:lineRule="auto"/>
    </w:pPr>
    <w:rPr>
      <w:rFonts w:ascii="Arial" w:hAnsi="Arial"/>
      <w:sz w:val="24"/>
      <w:szCs w:val="24"/>
    </w:rPr>
  </w:style>
  <w:style w:type="paragraph" w:styleId="964" w:customStyle="1">
    <w:name w:val="table_lines"/>
    <w:basedOn w:val="725"/>
    <w:qFormat/>
    <w:pPr>
      <w:jc w:val="left"/>
      <w:widowControl/>
    </w:pPr>
    <w:rPr>
      <w:rFonts w:ascii="Times New Roman" w:hAnsi="Times New Roman"/>
      <w:sz w:val="20"/>
      <w:szCs w:val="20"/>
      <w:lang w:val="de-DE" w:eastAsia="de-DE"/>
    </w:rPr>
  </w:style>
  <w:style w:type="paragraph" w:styleId="965" w:customStyle="1">
    <w:name w:val="附录1"/>
    <w:qFormat/>
    <w:pPr>
      <w:numPr>
        <w:numId w:val="2"/>
      </w:numPr>
      <w:spacing w:before="240" w:after="160" w:line="600" w:lineRule="atLeast"/>
    </w:pPr>
    <w:rPr>
      <w:rFonts w:ascii="Times New Roman" w:hAnsi="Times New Roman" w:eastAsia="宋体" w:cs="Times New Roman"/>
      <w:b/>
      <w:i/>
      <w:sz w:val="28"/>
      <w:szCs w:val="20"/>
    </w:rPr>
  </w:style>
  <w:style w:type="paragraph" w:styleId="966" w:customStyle="1">
    <w:name w:val="目录 31"/>
    <w:basedOn w:val="725"/>
    <w:next w:val="725"/>
    <w:semiHidden/>
    <w:qFormat/>
    <w:pPr>
      <w:ind w:left="420"/>
      <w:jc w:val="left"/>
    </w:pPr>
    <w:rPr>
      <w:rFonts w:ascii="Times New Roman" w:hAnsi="Times New Roman"/>
      <w:i/>
      <w:iCs/>
      <w:szCs w:val="24"/>
    </w:rPr>
  </w:style>
  <w:style w:type="paragraph" w:styleId="967" w:customStyle="1">
    <w:name w:val="正文文本缩进1"/>
    <w:basedOn w:val="725"/>
    <w:link w:val="968"/>
    <w:unhideWhenUsed/>
    <w:qFormat/>
    <w:pPr>
      <w:ind w:left="420"/>
      <w:spacing w:after="120"/>
    </w:pPr>
  </w:style>
  <w:style w:type="character" w:styleId="968" w:customStyle="1">
    <w:name w:val="正文文本缩进 Char"/>
    <w:basedOn w:val="924"/>
    <w:link w:val="967"/>
    <w:qFormat/>
    <w:rPr>
      <w:rFonts w:ascii="Calibri" w:hAnsi="Calibri" w:eastAsia="宋体" w:cs="Times New Roman"/>
    </w:rPr>
  </w:style>
  <w:style w:type="paragraph" w:styleId="969" w:customStyle="1">
    <w:name w:val="正文首行缩进 21"/>
    <w:basedOn w:val="967"/>
    <w:link w:val="970"/>
    <w:qFormat/>
    <w:pPr>
      <w:ind w:left="0" w:firstLine="420"/>
      <w:spacing w:after="0" w:line="360" w:lineRule="auto"/>
    </w:pPr>
    <w:rPr>
      <w:rFonts w:ascii="宋体" w:hAnsi="宋体"/>
      <w:szCs w:val="20"/>
    </w:rPr>
  </w:style>
  <w:style w:type="character" w:styleId="970" w:customStyle="1">
    <w:name w:val="正文首行缩进 2 Char"/>
    <w:link w:val="969"/>
    <w:qFormat/>
    <w:rPr>
      <w:rFonts w:ascii="宋体" w:hAnsi="宋体" w:eastAsia="宋体" w:cs="Times New Roman"/>
      <w:szCs w:val="20"/>
    </w:rPr>
  </w:style>
  <w:style w:type="paragraph" w:styleId="971" w:customStyle="1">
    <w:name w:val="正文文本缩进 31"/>
    <w:basedOn w:val="725"/>
    <w:link w:val="972"/>
    <w:qFormat/>
    <w:pPr>
      <w:ind w:left="645" w:firstLine="645"/>
    </w:pPr>
    <w:rPr>
      <w:rFonts w:ascii="Arial" w:hAnsi="Arial" w:eastAsia="仿宋_GB2312" w:cs="Arial"/>
      <w:color w:val="ffff00"/>
      <w:sz w:val="32"/>
      <w:szCs w:val="32"/>
    </w:rPr>
  </w:style>
  <w:style w:type="character" w:styleId="972" w:customStyle="1">
    <w:name w:val="正文文本缩进 3 Char"/>
    <w:link w:val="971"/>
    <w:qFormat/>
    <w:rPr>
      <w:rFonts w:ascii="Arial" w:hAnsi="Arial" w:eastAsia="仿宋_GB2312" w:cs="Arial"/>
      <w:color w:val="ffff00"/>
      <w:sz w:val="32"/>
      <w:szCs w:val="32"/>
    </w:rPr>
  </w:style>
  <w:style w:type="paragraph" w:styleId="973" w:customStyle="1">
    <w:name w:val="目录 61"/>
    <w:basedOn w:val="725"/>
    <w:next w:val="725"/>
    <w:semiHidden/>
    <w:qFormat/>
    <w:pPr>
      <w:ind w:left="1050"/>
      <w:jc w:val="left"/>
    </w:pPr>
    <w:rPr>
      <w:rFonts w:ascii="Times New Roman" w:hAnsi="Times New Roman"/>
      <w:szCs w:val="21"/>
    </w:rPr>
  </w:style>
  <w:style w:type="paragraph" w:styleId="974" w:customStyle="1">
    <w:name w:val="font7"/>
    <w:basedOn w:val="725"/>
    <w:qFormat/>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957"/>
    <w:qFormat/>
    <w:pPr>
      <w:spacing w:line="360" w:lineRule="auto"/>
    </w:pPr>
    <w:rPr>
      <w:rFonts w:ascii="Tahoma" w:hAnsi="Tahoma"/>
      <w:sz w:val="24"/>
      <w:szCs w:val="24"/>
    </w:rPr>
  </w:style>
  <w:style w:type="paragraph" w:styleId="976" w:customStyle="1">
    <w:name w:val="正文文本 31"/>
    <w:basedOn w:val="725"/>
    <w:link w:val="977"/>
    <w:qFormat/>
    <w:rPr>
      <w:rFonts w:ascii="仿宋_GB2312" w:hAnsi="Arial" w:eastAsia="仿宋_GB2312"/>
      <w:sz w:val="32"/>
      <w:szCs w:val="32"/>
    </w:rPr>
  </w:style>
  <w:style w:type="character" w:styleId="977" w:customStyle="1">
    <w:name w:val="正文文本 3 Char"/>
    <w:link w:val="976"/>
    <w:qFormat/>
    <w:rPr>
      <w:rFonts w:ascii="仿宋_GB2312" w:hAnsi="Arial" w:eastAsia="仿宋_GB2312" w:cs="Times New Roman"/>
      <w:sz w:val="32"/>
      <w:szCs w:val="32"/>
    </w:rPr>
  </w:style>
  <w:style w:type="paragraph" w:styleId="978"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979" w:customStyle="1">
    <w:name w:val="目录 41"/>
    <w:basedOn w:val="725"/>
    <w:next w:val="725"/>
    <w:semiHidden/>
    <w:qFormat/>
    <w:pPr>
      <w:ind w:left="630"/>
      <w:jc w:val="left"/>
    </w:pPr>
    <w:rPr>
      <w:rFonts w:ascii="Times New Roman" w:hAnsi="Times New Roman"/>
      <w:szCs w:val="21"/>
    </w:rPr>
  </w:style>
  <w:style w:type="paragraph" w:styleId="980" w:customStyle="1">
    <w:name w:val="列出段落"/>
    <w:basedOn w:val="725"/>
    <w:qFormat/>
    <w:pPr>
      <w:contextualSpacing/>
      <w:ind w:left="720"/>
      <w:jc w:val="left"/>
      <w:widowControl/>
    </w:pPr>
    <w:rPr>
      <w:sz w:val="24"/>
      <w:szCs w:val="24"/>
      <w:lang w:eastAsia="en-US" w:bidi="en-US"/>
    </w:rPr>
  </w:style>
  <w:style w:type="character" w:styleId="981" w:customStyle="1">
    <w:name w:val="文档结构图 Char"/>
    <w:link w:val="957"/>
    <w:semiHidden/>
    <w:qFormat/>
    <w:rPr>
      <w:rFonts w:ascii="Times New Roman" w:hAnsi="Times New Roman" w:eastAsia="宋体" w:cs="Times New Roman"/>
      <w:szCs w:val="21"/>
      <w:shd w:val="clear" w:color="auto" w:fill="000080"/>
    </w:rPr>
  </w:style>
  <w:style w:type="paragraph" w:styleId="982" w:customStyle="1">
    <w:name w:val="4"/>
    <w:basedOn w:val="725"/>
    <w:next w:val="971"/>
    <w:qFormat/>
    <w:pPr>
      <w:ind w:firstLine="420"/>
      <w:spacing w:line="360" w:lineRule="auto"/>
    </w:pPr>
    <w:rPr>
      <w:rFonts w:ascii="Times New Roman" w:hAnsi="Times New Roman"/>
      <w:color w:val="ff0000"/>
      <w:sz w:val="24"/>
      <w:szCs w:val="24"/>
    </w:rPr>
  </w:style>
  <w:style w:type="paragraph" w:styleId="983" w:customStyle="1">
    <w:name w:val="普通 (Web)"/>
    <w:basedOn w:val="725"/>
    <w:qFormat/>
    <w:pPr>
      <w:jc w:val="left"/>
      <w:spacing w:before="100" w:beforeAutospacing="1" w:after="100" w:afterAutospacing="1"/>
      <w:widowControl/>
    </w:pPr>
    <w:rPr>
      <w:rFonts w:ascii="宋体" w:hAnsi="宋体"/>
      <w:sz w:val="24"/>
      <w:szCs w:val="24"/>
    </w:rPr>
  </w:style>
  <w:style w:type="paragraph" w:styleId="984" w:customStyle="1">
    <w:name w:val="Char Char Char Char Char Char Char Char Char Char"/>
    <w:basedOn w:val="725"/>
    <w:qFormat/>
    <w:pPr>
      <w:spacing w:line="360" w:lineRule="auto"/>
    </w:pPr>
    <w:rPr>
      <w:rFonts w:ascii="Times New Roman" w:hAnsi="Times New Roman"/>
      <w:sz w:val="24"/>
      <w:szCs w:val="20"/>
    </w:rPr>
  </w:style>
  <w:style w:type="paragraph" w:styleId="985" w:customStyle="1">
    <w:name w:val="列表 21"/>
    <w:basedOn w:val="725"/>
    <w:qFormat/>
    <w:pPr>
      <w:ind w:left="100" w:hanging="200"/>
    </w:pPr>
    <w:rPr>
      <w:rFonts w:ascii="Times New Roman" w:hAnsi="Times New Roman"/>
      <w:szCs w:val="21"/>
    </w:rPr>
  </w:style>
  <w:style w:type="paragraph" w:styleId="986" w:customStyle="1">
    <w:name w:val="正文首行缩进1"/>
    <w:basedOn w:val="725"/>
    <w:link w:val="987"/>
    <w:qFormat/>
    <w:pPr>
      <w:ind w:firstLine="200"/>
      <w:spacing w:line="360" w:lineRule="auto"/>
    </w:pPr>
    <w:rPr>
      <w:rFonts w:ascii="仿宋_GB2312" w:hAnsi="Times New Roman" w:eastAsia="仿宋_GB2312"/>
      <w:sz w:val="30"/>
      <w:szCs w:val="30"/>
    </w:rPr>
  </w:style>
  <w:style w:type="character" w:styleId="987" w:customStyle="1">
    <w:name w:val="正文首行缩进 Char"/>
    <w:link w:val="986"/>
    <w:qFormat/>
    <w:rPr>
      <w:rFonts w:ascii="仿宋_GB2312" w:hAnsi="Times New Roman" w:eastAsia="仿宋_GB2312" w:cs="Times New Roman"/>
      <w:sz w:val="30"/>
      <w:szCs w:val="30"/>
    </w:rPr>
  </w:style>
  <w:style w:type="paragraph" w:styleId="988" w:customStyle="1">
    <w:name w:val="样式1"/>
    <w:basedOn w:val="725"/>
    <w:qFormat/>
    <w:pPr>
      <w:numPr>
        <w:numId w:val="3"/>
      </w:numPr>
    </w:pPr>
    <w:rPr>
      <w:rFonts w:ascii="宋体" w:hAnsi="宋体"/>
      <w:szCs w:val="21"/>
    </w:rPr>
  </w:style>
  <w:style w:type="paragraph" w:styleId="989" w:customStyle="1">
    <w:name w:val="font6"/>
    <w:basedOn w:val="725"/>
    <w:qFormat/>
    <w:pPr>
      <w:jc w:val="left"/>
      <w:spacing w:before="100" w:beforeAutospacing="1" w:after="100" w:afterAutospacing="1"/>
      <w:widowControl/>
    </w:pPr>
    <w:rPr>
      <w:rFonts w:hint="eastAsia" w:ascii="宋体" w:hAnsi="宋体"/>
      <w:sz w:val="28"/>
      <w:szCs w:val="28"/>
      <w:u w:val="single"/>
    </w:rPr>
  </w:style>
  <w:style w:type="paragraph" w:styleId="990" w:customStyle="1">
    <w:name w:val="目录 51"/>
    <w:basedOn w:val="725"/>
    <w:next w:val="725"/>
    <w:semiHidden/>
    <w:qFormat/>
    <w:pPr>
      <w:ind w:left="840"/>
      <w:jc w:val="left"/>
    </w:pPr>
    <w:rPr>
      <w:rFonts w:ascii="Times New Roman" w:hAnsi="Times New Roman"/>
      <w:szCs w:val="21"/>
    </w:rPr>
  </w:style>
  <w:style w:type="paragraph" w:styleId="991" w:customStyle="1">
    <w:name w:val="目录 11"/>
    <w:basedOn w:val="725"/>
    <w:next w:val="725"/>
    <w:semiHidden/>
    <w:qFormat/>
    <w:pPr>
      <w:jc w:val="left"/>
      <w:spacing w:before="120" w:after="120" w:line="400" w:lineRule="exact"/>
      <w:tabs>
        <w:tab w:val="right" w:pos="8720" w:leader="dot"/>
      </w:tabs>
    </w:pPr>
    <w:rPr>
      <w:rFonts w:ascii="宋体" w:hAnsi="宋体"/>
      <w:caps/>
      <w:sz w:val="24"/>
      <w:szCs w:val="24"/>
    </w:rPr>
  </w:style>
  <w:style w:type="paragraph" w:styleId="992" w:customStyle="1">
    <w:name w:val="纯文本1"/>
    <w:basedOn w:val="725"/>
    <w:link w:val="993"/>
    <w:qFormat/>
    <w:rPr>
      <w:rFonts w:ascii="宋体" w:hAnsi="Courier New" w:cs="Courier New"/>
      <w:szCs w:val="21"/>
    </w:rPr>
  </w:style>
  <w:style w:type="character" w:styleId="993" w:customStyle="1">
    <w:name w:val="纯文本 Char"/>
    <w:link w:val="992"/>
    <w:qFormat/>
    <w:rPr>
      <w:rFonts w:ascii="宋体" w:hAnsi="Courier New" w:eastAsia="宋体" w:cs="Courier New"/>
      <w:szCs w:val="21"/>
    </w:rPr>
  </w:style>
  <w:style w:type="paragraph" w:styleId="994" w:customStyle="1">
    <w:name w:val="批注框文本1"/>
    <w:basedOn w:val="725"/>
    <w:link w:val="995"/>
    <w:semiHidden/>
    <w:qFormat/>
    <w:rPr>
      <w:rFonts w:ascii="Times New Roman" w:hAnsi="Times New Roman"/>
      <w:sz w:val="18"/>
      <w:szCs w:val="18"/>
    </w:rPr>
  </w:style>
  <w:style w:type="character" w:styleId="995" w:customStyle="1">
    <w:name w:val="批注框文本 Char"/>
    <w:link w:val="994"/>
    <w:semiHidden/>
    <w:qFormat/>
    <w:rPr>
      <w:rFonts w:ascii="Times New Roman" w:hAnsi="Times New Roman" w:eastAsia="宋体" w:cs="Times New Roman"/>
      <w:sz w:val="18"/>
      <w:szCs w:val="18"/>
    </w:rPr>
  </w:style>
  <w:style w:type="paragraph" w:styleId="996" w:customStyle="1">
    <w:name w:val="xl25"/>
    <w:basedOn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列表1"/>
    <w:basedOn w:val="725"/>
    <w:qFormat/>
    <w:pPr>
      <w:ind w:left="200" w:hanging="200"/>
    </w:pPr>
    <w:rPr>
      <w:rFonts w:ascii="Times New Roman" w:hAnsi="Times New Roman"/>
      <w:szCs w:val="21"/>
    </w:rPr>
  </w:style>
  <w:style w:type="paragraph" w:styleId="998" w:customStyle="1">
    <w:name w:val="图标"/>
    <w:basedOn w:val="725"/>
    <w:next w:val="72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9" w:customStyle="1">
    <w:name w:val="日期1"/>
    <w:basedOn w:val="725"/>
    <w:next w:val="725"/>
    <w:link w:val="1000"/>
    <w:qFormat/>
    <w:rPr>
      <w:rFonts w:ascii="Times New Roman" w:hAnsi="Times New Roman"/>
      <w:sz w:val="24"/>
      <w:szCs w:val="24"/>
    </w:rPr>
  </w:style>
  <w:style w:type="character" w:styleId="1000" w:customStyle="1">
    <w:name w:val="日期 Char"/>
    <w:link w:val="999"/>
    <w:qFormat/>
    <w:rPr>
      <w:rFonts w:ascii="Times New Roman" w:hAnsi="Times New Roman" w:eastAsia="宋体" w:cs="Times New Roman"/>
      <w:sz w:val="24"/>
      <w:szCs w:val="24"/>
    </w:rPr>
  </w:style>
  <w:style w:type="paragraph" w:styleId="1001" w:customStyle="1">
    <w:name w:val="标题3"/>
    <w:basedOn w:val="725"/>
    <w:next w:val="725"/>
    <w:qFormat/>
    <w:pPr>
      <w:ind w:firstLine="624"/>
      <w:spacing w:line="590" w:lineRule="atLeast"/>
    </w:pPr>
    <w:rPr>
      <w:rFonts w:ascii="方正黑体_GBK" w:hAnsi="Times New Roman" w:eastAsia="方正黑体_GBK"/>
      <w:sz w:val="32"/>
      <w:szCs w:val="32"/>
    </w:rPr>
  </w:style>
  <w:style w:type="paragraph" w:styleId="1002" w:customStyle="1">
    <w:name w:val="xl24"/>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9"/>
    <w:basedOn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725"/>
    <w:qFormat/>
    <w:pPr>
      <w:jc w:val="left"/>
      <w:spacing w:line="240" w:lineRule="exact"/>
      <w:widowControl/>
    </w:pPr>
    <w:rPr>
      <w:rFonts w:ascii="Verdana" w:hAnsi="Verdana"/>
      <w:sz w:val="20"/>
      <w:szCs w:val="20"/>
      <w:lang w:eastAsia="en-US"/>
    </w:rPr>
  </w:style>
  <w:style w:type="paragraph" w:styleId="1005" w:customStyle="1">
    <w:name w:val="正文文本 21"/>
    <w:basedOn w:val="725"/>
    <w:link w:val="1006"/>
    <w:qFormat/>
    <w:pPr>
      <w:jc w:val="center"/>
      <w:widowControl/>
    </w:pPr>
    <w:rPr>
      <w:rFonts w:ascii="楷体_GB2312" w:hAnsi="Times New Roman" w:eastAsia="楷体_GB2312"/>
      <w:sz w:val="28"/>
      <w:szCs w:val="28"/>
    </w:rPr>
  </w:style>
  <w:style w:type="character" w:styleId="1006" w:customStyle="1">
    <w:name w:val="正文文本 2 Char"/>
    <w:link w:val="1005"/>
    <w:qFormat/>
    <w:rPr>
      <w:rFonts w:ascii="楷体_GB2312" w:hAnsi="Times New Roman" w:eastAsia="楷体_GB2312" w:cs="Times New Roman"/>
      <w:sz w:val="28"/>
      <w:szCs w:val="28"/>
    </w:rPr>
  </w:style>
  <w:style w:type="paragraph" w:styleId="1007" w:customStyle="1">
    <w:name w:val="列表 31"/>
    <w:basedOn w:val="725"/>
    <w:qFormat/>
    <w:pPr>
      <w:ind w:left="100" w:hanging="200"/>
    </w:pPr>
    <w:rPr>
      <w:rFonts w:ascii="Times New Roman" w:hAnsi="Times New Roman"/>
      <w:szCs w:val="21"/>
    </w:rPr>
  </w:style>
  <w:style w:type="paragraph" w:styleId="1008" w:customStyle="1">
    <w:name w:val="目录 71"/>
    <w:basedOn w:val="725"/>
    <w:next w:val="725"/>
    <w:semiHidden/>
    <w:qFormat/>
    <w:pPr>
      <w:ind w:left="1260"/>
      <w:jc w:val="left"/>
    </w:pPr>
    <w:rPr>
      <w:rFonts w:ascii="Times New Roman" w:hAnsi="Times New Roman"/>
      <w:szCs w:val="21"/>
    </w:rPr>
  </w:style>
  <w:style w:type="paragraph" w:styleId="1009" w:customStyle="1">
    <w:name w:val="目录 21"/>
    <w:basedOn w:val="725"/>
    <w:next w:val="725"/>
    <w:semiHidden/>
    <w:qFormat/>
    <w:pPr>
      <w:ind w:left="210"/>
      <w:jc w:val="left"/>
    </w:pPr>
    <w:rPr>
      <w:rFonts w:ascii="Times New Roman" w:hAnsi="Times New Roman"/>
      <w:smallCaps/>
      <w:szCs w:val="24"/>
    </w:rPr>
  </w:style>
  <w:style w:type="paragraph" w:styleId="1010" w:customStyle="1">
    <w:name w:val="xl28"/>
    <w:basedOn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页眉1"/>
    <w:basedOn w:val="725"/>
    <w:link w:val="101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2" w:customStyle="1">
    <w:name w:val="页眉 Char"/>
    <w:link w:val="1011"/>
    <w:qFormat/>
    <w:rPr>
      <w:rFonts w:ascii="Times New Roman" w:hAnsi="Times New Roman" w:eastAsia="宋体" w:cs="Times New Roman"/>
      <w:sz w:val="18"/>
      <w:szCs w:val="18"/>
    </w:rPr>
  </w:style>
  <w:style w:type="paragraph" w:styleId="1013" w:customStyle="1">
    <w:name w:val="页脚1"/>
    <w:basedOn w:val="725"/>
    <w:link w:val="1014"/>
    <w:qFormat/>
    <w:pPr>
      <w:jc w:val="left"/>
      <w:tabs>
        <w:tab w:val="center" w:pos="4153" w:leader="none"/>
        <w:tab w:val="right" w:pos="8306" w:leader="none"/>
      </w:tabs>
    </w:pPr>
    <w:rPr>
      <w:rFonts w:ascii="Times New Roman" w:hAnsi="Times New Roman"/>
      <w:sz w:val="18"/>
      <w:szCs w:val="18"/>
    </w:rPr>
  </w:style>
  <w:style w:type="character" w:styleId="1014" w:customStyle="1">
    <w:name w:val="页脚 Char"/>
    <w:link w:val="1013"/>
    <w:qFormat/>
    <w:rPr>
      <w:rFonts w:ascii="Times New Roman" w:hAnsi="Times New Roman" w:eastAsia="宋体" w:cs="Times New Roman"/>
      <w:sz w:val="18"/>
      <w:szCs w:val="18"/>
    </w:rPr>
  </w:style>
  <w:style w:type="paragraph" w:styleId="1015" w:customStyle="1">
    <w:name w:val="Char Char Char Char Char Char Char Char1"/>
    <w:basedOn w:val="725"/>
    <w:qFormat/>
    <w:pPr>
      <w:jc w:val="left"/>
      <w:spacing w:line="240" w:lineRule="exact"/>
      <w:widowControl/>
    </w:pPr>
    <w:rPr>
      <w:rFonts w:ascii="Verdana" w:hAnsi="Verdana"/>
      <w:sz w:val="20"/>
      <w:szCs w:val="20"/>
      <w:lang w:eastAsia="en-US"/>
    </w:rPr>
  </w:style>
  <w:style w:type="paragraph" w:styleId="1016" w:customStyle="1">
    <w:name w:val="目录 81"/>
    <w:basedOn w:val="725"/>
    <w:next w:val="725"/>
    <w:semiHidden/>
    <w:qFormat/>
    <w:pPr>
      <w:ind w:left="1470"/>
      <w:jc w:val="left"/>
    </w:pPr>
    <w:rPr>
      <w:rFonts w:ascii="Times New Roman" w:hAnsi="Times New Roman"/>
      <w:szCs w:val="21"/>
    </w:rPr>
  </w:style>
  <w:style w:type="paragraph" w:styleId="1017" w:customStyle="1">
    <w:name w:val="xl30"/>
    <w:basedOn w:val="725"/>
    <w:qFormat/>
    <w:pPr>
      <w:jc w:val="center"/>
      <w:spacing w:before="100" w:beforeAutospacing="1" w:after="100" w:afterAutospacing="1"/>
      <w:widowControl/>
    </w:pPr>
    <w:rPr>
      <w:rFonts w:ascii="宋体" w:hAnsi="宋体"/>
      <w:b/>
      <w:bCs/>
      <w:sz w:val="36"/>
      <w:szCs w:val="36"/>
    </w:rPr>
  </w:style>
  <w:style w:type="paragraph" w:styleId="1018" w:customStyle="1">
    <w:name w:val="Char Char Char Char1"/>
    <w:basedOn w:val="957"/>
    <w:qFormat/>
    <w:pPr>
      <w:spacing w:line="360" w:lineRule="auto"/>
    </w:pPr>
    <w:rPr>
      <w:rFonts w:ascii="Tahoma" w:hAnsi="Tahoma"/>
      <w:sz w:val="24"/>
      <w:szCs w:val="24"/>
    </w:rPr>
  </w:style>
  <w:style w:type="paragraph" w:styleId="1019" w:customStyle="1">
    <w:name w:val="table_1stline"/>
    <w:basedOn w:val="725"/>
    <w:qFormat/>
    <w:pPr>
      <w:jc w:val="left"/>
      <w:spacing w:before="120"/>
      <w:widowControl/>
    </w:pPr>
    <w:rPr>
      <w:rFonts w:ascii="Times New Roman" w:hAnsi="Times New Roman"/>
      <w:bCs/>
      <w:sz w:val="20"/>
      <w:szCs w:val="20"/>
      <w:lang w:val="de-DE" w:eastAsia="de-DE"/>
    </w:rPr>
  </w:style>
  <w:style w:type="paragraph" w:styleId="1020" w:customStyle="1">
    <w:name w:val="font5"/>
    <w:basedOn w:val="725"/>
    <w:qFormat/>
    <w:pPr>
      <w:jc w:val="left"/>
      <w:spacing w:before="100" w:beforeAutospacing="1" w:after="100" w:afterAutospacing="1"/>
      <w:widowControl/>
    </w:pPr>
    <w:rPr>
      <w:rFonts w:hint="eastAsia" w:ascii="宋体" w:hAnsi="宋体"/>
      <w:sz w:val="28"/>
      <w:szCs w:val="28"/>
    </w:rPr>
  </w:style>
  <w:style w:type="paragraph" w:styleId="1021" w:customStyle="1">
    <w:name w:val="标题1"/>
    <w:basedOn w:val="725"/>
    <w:next w:val="72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2" w:customStyle="1">
    <w:name w:val="修订1"/>
    <w:uiPriority w:val="99"/>
    <w:semiHidden/>
    <w:qFormat/>
    <w:pPr>
      <w:spacing w:after="160" w:line="278" w:lineRule="auto"/>
    </w:pPr>
    <w:rPr>
      <w:rFonts w:ascii="Times New Roman" w:hAnsi="Times New Roman" w:eastAsia="宋体" w:cs="Times New Roman"/>
      <w:szCs w:val="21"/>
    </w:rPr>
  </w:style>
  <w:style w:type="table" w:styleId="1023" w:customStyle="1">
    <w:name w:val="网格型1"/>
    <w:basedOn w:val="925"/>
    <w:qFormat/>
    <w:pPr>
      <w:jc w:val="both"/>
      <w:widowControl w:val="off"/>
    </w:pPr>
    <w:rPr>
      <w:rFonts w:ascii="Times New Roman" w:hAnsi="Times New Roman"/>
    </w:rPr>
    <w:tblPr/>
  </w:style>
  <w:style w:type="paragraph" w:styleId="1024" w:customStyle="1">
    <w:name w:val="无间隔1"/>
    <w:uiPriority w:val="99"/>
    <w:qFormat/>
    <w:pPr>
      <w:jc w:val="both"/>
      <w:spacing w:after="160" w:line="278" w:lineRule="auto"/>
      <w:widowControl w:val="off"/>
    </w:pPr>
    <w:rPr>
      <w:rFonts w:ascii="Times New Roman" w:hAnsi="Times New Roman" w:eastAsia="宋体" w:cs="Times New Roman"/>
      <w:szCs w:val="21"/>
    </w:rPr>
  </w:style>
  <w:style w:type="paragraph" w:styleId="1025" w:customStyle="1">
    <w:name w:val="样式 列出段落列表段落A一级lp1List Paragraph1符号列表有序多级列表1List11.2.3标题...1"/>
    <w:basedOn w:val="725"/>
    <w:qFormat/>
    <w:pPr>
      <w:ind w:firstLine="640"/>
      <w:jc w:val="left"/>
      <w:spacing w:line="560" w:lineRule="exact"/>
      <w:widowControl/>
    </w:pPr>
    <w:rPr>
      <w:rFonts w:ascii="仿宋_GB2312" w:hAnsi="宋体" w:eastAsia="方正仿宋_GBK" w:cs="宋体"/>
      <w:sz w:val="24"/>
      <w:szCs w:val="20"/>
      <w:lang w:val="zh-CN"/>
    </w:rPr>
  </w:style>
  <w:style w:type="character" w:styleId="1026" w:customStyle="1">
    <w:name w:val="font31"/>
    <w:qFormat/>
    <w:rPr>
      <w:rFonts w:hint="eastAsia" w:ascii="宋体" w:hAnsi="宋体" w:eastAsia="宋体" w:cs="宋体"/>
      <w:b/>
      <w:color w:val="000000"/>
      <w:sz w:val="20"/>
      <w:szCs w:val="20"/>
      <w:u w:val="none"/>
    </w:rPr>
  </w:style>
  <w:style w:type="character" w:styleId="1027" w:customStyle="1">
    <w:name w:val="font61"/>
    <w:qFormat/>
    <w:rPr>
      <w:rFonts w:hint="eastAsia" w:ascii="宋体" w:hAnsi="宋体" w:eastAsia="宋体" w:cs="宋体"/>
      <w:b/>
      <w:color w:val="000000"/>
      <w:sz w:val="20"/>
      <w:szCs w:val="20"/>
      <w:u w:val="none"/>
    </w:rPr>
  </w:style>
  <w:style w:type="character" w:styleId="1028" w:customStyle="1">
    <w:name w:val="font21"/>
    <w:qFormat/>
    <w:rPr>
      <w:rFonts w:hint="eastAsia" w:ascii="宋体" w:hAnsi="宋体" w:eastAsia="宋体" w:cs="宋体"/>
      <w:b/>
      <w:color w:val="ff0000"/>
      <w:sz w:val="20"/>
      <w:szCs w:val="20"/>
      <w:u w:val="none"/>
    </w:rPr>
  </w:style>
  <w:style w:type="character" w:styleId="1029" w:customStyle="1">
    <w:name w:val="font11"/>
    <w:qFormat/>
    <w:rPr>
      <w:rFonts w:hint="eastAsia" w:ascii="宋体" w:hAnsi="宋体" w:eastAsia="宋体" w:cs="宋体"/>
      <w:color w:val="000000"/>
      <w:sz w:val="20"/>
      <w:szCs w:val="20"/>
      <w:u w:val="none"/>
    </w:rPr>
  </w:style>
  <w:style w:type="character" w:styleId="1030" w:customStyle="1">
    <w:name w:val="font01"/>
    <w:qFormat/>
    <w:rPr>
      <w:rFonts w:hint="default" w:ascii="Times New Roman" w:hAnsi="Times New Roman" w:cs="Times New Roman"/>
      <w:color w:val="000000"/>
      <w:sz w:val="19"/>
      <w:szCs w:val="19"/>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B9853-429C-4EB4-B5EB-F543AC123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常州市中吴实验学校</dc:creator>
  <cp:keywords/>
  <dc:description/>
  <cp:lastModifiedBy>马樱</cp:lastModifiedBy>
  <cp:revision>8</cp:revision>
  <dcterms:created xsi:type="dcterms:W3CDTF">2025-12-04T06:12:00Z</dcterms:created>
  <dcterms:modified xsi:type="dcterms:W3CDTF">2025-12-05T06:17:46Z</dcterms:modified>
</cp:coreProperties>
</file>